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8" w:rsidRDefault="00DD45BE" w:rsidP="00375A3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26531875"/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375A38" w:rsidRDefault="00375A38" w:rsidP="00375A38">
      <w:pPr>
        <w:ind w:firstLine="709"/>
        <w:jc w:val="center"/>
        <w:rPr>
          <w:b/>
        </w:rPr>
      </w:pPr>
      <w:r w:rsidRPr="000D4826">
        <w:rPr>
          <w:b/>
        </w:rPr>
        <w:t xml:space="preserve">о выполнении </w:t>
      </w:r>
      <w:r w:rsidR="00D57D82">
        <w:rPr>
          <w:b/>
        </w:rPr>
        <w:t>П</w:t>
      </w:r>
      <w:r w:rsidRPr="000D4826">
        <w:rPr>
          <w:b/>
        </w:rPr>
        <w:t xml:space="preserve">рогнозного плана социально-экономического развития </w:t>
      </w:r>
    </w:p>
    <w:p w:rsidR="00375A38" w:rsidRDefault="00375A38" w:rsidP="00375A38">
      <w:pPr>
        <w:ind w:firstLine="709"/>
        <w:jc w:val="center"/>
        <w:rPr>
          <w:b/>
        </w:rPr>
      </w:pPr>
      <w:r w:rsidRPr="000D4826">
        <w:rPr>
          <w:b/>
        </w:rPr>
        <w:t>муниципального образования г.</w:t>
      </w:r>
      <w:r>
        <w:rPr>
          <w:b/>
        </w:rPr>
        <w:t xml:space="preserve"> </w:t>
      </w:r>
      <w:r w:rsidRPr="000D4826">
        <w:rPr>
          <w:b/>
        </w:rPr>
        <w:t xml:space="preserve">Бодайбо и района </w:t>
      </w:r>
    </w:p>
    <w:p w:rsidR="00375A38" w:rsidRPr="000D4826" w:rsidRDefault="007A60F9" w:rsidP="00375A38">
      <w:pPr>
        <w:jc w:val="center"/>
        <w:rPr>
          <w:b/>
        </w:rPr>
      </w:pPr>
      <w:r>
        <w:rPr>
          <w:b/>
        </w:rPr>
        <w:t>за</w:t>
      </w:r>
      <w:r w:rsidR="00375A38" w:rsidRPr="000D4826">
        <w:rPr>
          <w:b/>
        </w:rPr>
        <w:t xml:space="preserve"> 201</w:t>
      </w:r>
      <w:r w:rsidR="00375A38">
        <w:rPr>
          <w:b/>
        </w:rPr>
        <w:t>3</w:t>
      </w:r>
      <w:r w:rsidR="00375A38" w:rsidRPr="000D4826">
        <w:rPr>
          <w:b/>
        </w:rPr>
        <w:t xml:space="preserve"> год</w:t>
      </w:r>
    </w:p>
    <w:bookmarkEnd w:id="0"/>
    <w:p w:rsidR="00375A38" w:rsidRDefault="00375A38" w:rsidP="00375A38">
      <w:pPr>
        <w:ind w:firstLine="709"/>
      </w:pPr>
    </w:p>
    <w:p w:rsidR="007A60F9" w:rsidRDefault="007A60F9" w:rsidP="007A60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A60F9" w:rsidRPr="007A60F9" w:rsidRDefault="007A60F9" w:rsidP="007A60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6"/>
      <w:bookmarkEnd w:id="1"/>
      <w:r w:rsidRPr="007A60F9">
        <w:rPr>
          <w:b/>
        </w:rPr>
        <w:t>1. Общие положения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jc w:val="both"/>
      </w:pP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>Основн</w:t>
      </w:r>
      <w:r w:rsidR="00D57D82">
        <w:t>ая</w:t>
      </w:r>
      <w:r w:rsidRPr="007A60F9">
        <w:t xml:space="preserve"> цель разработки и реализации Прогнозного </w:t>
      </w:r>
      <w:hyperlink r:id="rId8" w:history="1">
        <w:r w:rsidRPr="007A60F9">
          <w:rPr>
            <w:rStyle w:val="af4"/>
            <w:color w:val="auto"/>
            <w:u w:val="none"/>
          </w:rPr>
          <w:t>плана</w:t>
        </w:r>
      </w:hyperlink>
      <w:r w:rsidRPr="007A60F9">
        <w:t xml:space="preserve"> социально-экономического развития </w:t>
      </w:r>
      <w:r>
        <w:t>муниципального образования г. Бодайбо и</w:t>
      </w:r>
      <w:r w:rsidRPr="007A60F9">
        <w:t xml:space="preserve"> района на 201</w:t>
      </w:r>
      <w:r>
        <w:t>3</w:t>
      </w:r>
      <w:r w:rsidRPr="007A60F9">
        <w:t xml:space="preserve"> год (далее - Прогнозный план), утвержденного решением Думы </w:t>
      </w:r>
      <w:r>
        <w:t>г. Бодайбо и района от 13.12.2012 года № 105</w:t>
      </w:r>
      <w:r w:rsidR="00D57D82">
        <w:t xml:space="preserve"> -</w:t>
      </w:r>
      <w:r w:rsidRPr="007A60F9">
        <w:t xml:space="preserve"> сохранение и развитие </w:t>
      </w:r>
      <w:r>
        <w:t>Бодайбинского</w:t>
      </w:r>
      <w:r w:rsidRPr="007A60F9">
        <w:t xml:space="preserve"> района с качественной средой проживания, полноценным местным сообществом, развитым промышленным потенциалом и инфраструктурой, обеспечивающей высокий уровень жизни населения и благоприятные условия для экономической деятельности.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Прогнозный </w:t>
      </w:r>
      <w:hyperlink r:id="rId9" w:history="1">
        <w:r w:rsidRPr="007A60F9">
          <w:rPr>
            <w:rStyle w:val="af4"/>
            <w:color w:val="auto"/>
            <w:u w:val="none"/>
          </w:rPr>
          <w:t>план</w:t>
        </w:r>
      </w:hyperlink>
      <w:r w:rsidRPr="007A60F9">
        <w:t xml:space="preserve"> представляет собой детализированный план мероприятий по реализации стратегических направлений развития </w:t>
      </w:r>
      <w:r>
        <w:t>Бодайбинского ра</w:t>
      </w:r>
      <w:r w:rsidRPr="007A60F9">
        <w:t>йона на 201</w:t>
      </w:r>
      <w:r>
        <w:t>3</w:t>
      </w:r>
      <w:r w:rsidRPr="007A60F9">
        <w:t xml:space="preserve"> год, определенных </w:t>
      </w:r>
      <w:hyperlink r:id="rId10" w:history="1">
        <w:r w:rsidRPr="007A60F9">
          <w:rPr>
            <w:rStyle w:val="af4"/>
            <w:color w:val="auto"/>
            <w:u w:val="none"/>
          </w:rPr>
          <w:t>Программой</w:t>
        </w:r>
      </w:hyperlink>
      <w:r w:rsidRPr="007A60F9">
        <w:t xml:space="preserve"> </w:t>
      </w:r>
      <w:r>
        <w:t xml:space="preserve">комплексного </w:t>
      </w:r>
      <w:r w:rsidRPr="007A60F9">
        <w:t xml:space="preserve">социально-экономического развития </w:t>
      </w:r>
      <w:r>
        <w:t>муниципального образования г. Бодайбо и</w:t>
      </w:r>
      <w:r w:rsidRPr="007A60F9">
        <w:t xml:space="preserve"> района на период 2008-201</w:t>
      </w:r>
      <w:r>
        <w:t>5</w:t>
      </w:r>
      <w:r w:rsidRPr="007A60F9">
        <w:t xml:space="preserve"> годов </w:t>
      </w:r>
      <w:r>
        <w:t xml:space="preserve">(с изменениями и дополнениями) </w:t>
      </w:r>
      <w:r w:rsidRPr="007A60F9">
        <w:t xml:space="preserve">(далее - Программа), </w:t>
      </w:r>
      <w:r w:rsidR="00D57D82">
        <w:t>утвержденной</w:t>
      </w:r>
      <w:r w:rsidRPr="007A60F9">
        <w:t xml:space="preserve"> решением Думы </w:t>
      </w:r>
      <w:r>
        <w:t>г. Бодайбо и района</w:t>
      </w:r>
      <w:r w:rsidRPr="007A60F9">
        <w:t xml:space="preserve"> от </w:t>
      </w:r>
      <w:r w:rsidR="007157B7">
        <w:t>10.12.2007 г. № 49-па.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В соответствии с приоритетами развития, принятыми в </w:t>
      </w:r>
      <w:hyperlink r:id="rId11" w:history="1">
        <w:r w:rsidRPr="007157B7">
          <w:rPr>
            <w:rStyle w:val="af4"/>
            <w:color w:val="auto"/>
            <w:u w:val="none"/>
          </w:rPr>
          <w:t>Программе</w:t>
        </w:r>
      </w:hyperlink>
      <w:r w:rsidRPr="007157B7">
        <w:t>,</w:t>
      </w:r>
      <w:r w:rsidRPr="007A60F9">
        <w:t xml:space="preserve"> принимая во внимание прогноз развития </w:t>
      </w:r>
      <w:r w:rsidR="007157B7">
        <w:t>Бодайбинского</w:t>
      </w:r>
      <w:r w:rsidRPr="007A60F9">
        <w:t xml:space="preserve"> района на 201</w:t>
      </w:r>
      <w:r w:rsidR="007157B7">
        <w:t>3</w:t>
      </w:r>
      <w:r w:rsidRPr="007A60F9">
        <w:t xml:space="preserve"> год, были определены следующие задачи развития района в 201</w:t>
      </w:r>
      <w:r w:rsidR="007157B7">
        <w:t>3</w:t>
      </w:r>
      <w:r w:rsidRPr="007A60F9">
        <w:t xml:space="preserve"> году: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>1. Улучшение качества среды проживания.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2. Создание системы формирования здоровой, образованной и культурно-развитой личности через совершенствование управления социальным развитием </w:t>
      </w:r>
      <w:r w:rsidR="007157B7">
        <w:t>Бодайбинского</w:t>
      </w:r>
      <w:r w:rsidRPr="007A60F9">
        <w:t xml:space="preserve"> района.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3. Внедрение эффективных технологий в управление развитием </w:t>
      </w:r>
      <w:r w:rsidR="007157B7">
        <w:t>Бодайбинского</w:t>
      </w:r>
      <w:r w:rsidRPr="007A60F9">
        <w:t xml:space="preserve"> района.</w:t>
      </w:r>
    </w:p>
    <w:p w:rsidR="007A60F9" w:rsidRPr="007A60F9" w:rsidRDefault="007A60F9" w:rsidP="007A60F9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4. Повышение экономического потенциала и конкурентоспособности </w:t>
      </w:r>
      <w:r w:rsidR="007157B7">
        <w:t xml:space="preserve">Бодайбинского </w:t>
      </w:r>
      <w:r w:rsidRPr="007A60F9">
        <w:t>района.</w:t>
      </w:r>
    </w:p>
    <w:p w:rsidR="007A60F9" w:rsidRPr="007A60F9" w:rsidRDefault="007A60F9" w:rsidP="007157B7">
      <w:pPr>
        <w:widowControl w:val="0"/>
        <w:autoSpaceDE w:val="0"/>
        <w:autoSpaceDN w:val="0"/>
        <w:adjustRightInd w:val="0"/>
        <w:ind w:firstLine="540"/>
        <w:jc w:val="both"/>
      </w:pPr>
      <w:r w:rsidRPr="007A60F9">
        <w:t xml:space="preserve">Реализация мероприятий Прогнозного </w:t>
      </w:r>
      <w:hyperlink r:id="rId12" w:history="1">
        <w:r w:rsidRPr="007157B7">
          <w:rPr>
            <w:rStyle w:val="af4"/>
            <w:color w:val="auto"/>
            <w:u w:val="none"/>
          </w:rPr>
          <w:t>плана</w:t>
        </w:r>
      </w:hyperlink>
      <w:r w:rsidRPr="007157B7">
        <w:t xml:space="preserve"> </w:t>
      </w:r>
      <w:r w:rsidRPr="007A60F9">
        <w:t xml:space="preserve">осуществлялась с применением программно-целевого метода в рамках выполнения </w:t>
      </w:r>
      <w:r w:rsidR="007157B7">
        <w:t xml:space="preserve">долгосрочных </w:t>
      </w:r>
      <w:r w:rsidRPr="007A60F9">
        <w:t>муниципальных целевых программ</w:t>
      </w:r>
      <w:r w:rsidR="007157B7">
        <w:t xml:space="preserve"> (приложение № 1). </w:t>
      </w:r>
    </w:p>
    <w:p w:rsidR="00375A38" w:rsidRPr="007A60F9" w:rsidRDefault="00375A38" w:rsidP="007A60F9">
      <w:pPr>
        <w:ind w:firstLine="709"/>
      </w:pPr>
    </w:p>
    <w:p w:rsidR="00375A38" w:rsidRDefault="00375A38" w:rsidP="00375A38">
      <w:pPr>
        <w:ind w:firstLine="709"/>
        <w:jc w:val="both"/>
        <w:rPr>
          <w:b/>
          <w:bCs/>
        </w:rPr>
      </w:pPr>
      <w:r>
        <w:tab/>
      </w:r>
      <w:r>
        <w:rPr>
          <w:color w:val="FF0000"/>
        </w:rPr>
        <w:tab/>
      </w:r>
      <w:r>
        <w:rPr>
          <w:b/>
          <w:bCs/>
        </w:rPr>
        <w:t xml:space="preserve">Основные показатели социально-экономического развития </w:t>
      </w:r>
    </w:p>
    <w:p w:rsidR="00375A38" w:rsidRDefault="00375A38" w:rsidP="00375A38">
      <w:pPr>
        <w:ind w:firstLine="709"/>
        <w:jc w:val="center"/>
        <w:rPr>
          <w:b/>
          <w:bCs/>
        </w:rPr>
      </w:pPr>
      <w:r>
        <w:rPr>
          <w:b/>
          <w:bCs/>
        </w:rPr>
        <w:t>муниципального образования г. Бодайбо и района</w:t>
      </w:r>
    </w:p>
    <w:p w:rsidR="00375A38" w:rsidRDefault="00375A38" w:rsidP="00375A38">
      <w:pPr>
        <w:ind w:firstLine="709"/>
        <w:jc w:val="center"/>
        <w:rPr>
          <w:b/>
          <w:bCs/>
        </w:rPr>
      </w:pPr>
    </w:p>
    <w:p w:rsidR="00375A38" w:rsidRDefault="00375A38" w:rsidP="00375A38">
      <w:pPr>
        <w:ind w:firstLine="709"/>
        <w:jc w:val="both"/>
      </w:pPr>
      <w:r>
        <w:t>Сохраняются положительные значения основных показателей социально-экономического развития:</w:t>
      </w:r>
    </w:p>
    <w:p w:rsidR="00375A38" w:rsidRDefault="00375A38" w:rsidP="00375A38">
      <w:pPr>
        <w:ind w:firstLine="709"/>
        <w:jc w:val="both"/>
      </w:pPr>
      <w:r>
        <w:t xml:space="preserve">1. Уровень зарегистрированной безработицы – стабильно </w:t>
      </w:r>
      <w:r w:rsidRPr="0086049A">
        <w:t>0,2</w:t>
      </w:r>
      <w:r w:rsidR="007157B7">
        <w:t>4</w:t>
      </w:r>
      <w:r>
        <w:t xml:space="preserve">% (ниже уровня в Иркутской области - </w:t>
      </w:r>
      <w:r w:rsidR="007157B7">
        <w:t>7</w:t>
      </w:r>
      <w:r>
        <w:t>%).</w:t>
      </w:r>
    </w:p>
    <w:p w:rsidR="00375A38" w:rsidRDefault="00375A38" w:rsidP="00375A38">
      <w:pPr>
        <w:ind w:firstLine="709"/>
        <w:jc w:val="both"/>
      </w:pPr>
      <w:r>
        <w:t xml:space="preserve">2. Среднемесячная заработная плата, которая является основной частью доходов населения, за отчетный период по Бодайбинскому району составила </w:t>
      </w:r>
      <w:r w:rsidRPr="0086049A">
        <w:t xml:space="preserve">46 </w:t>
      </w:r>
      <w:r w:rsidR="007157B7">
        <w:t>942</w:t>
      </w:r>
      <w:r>
        <w:t xml:space="preserve"> руб., что на </w:t>
      </w:r>
      <w:r w:rsidR="007B1AE8">
        <w:t>0,8</w:t>
      </w:r>
      <w:r>
        <w:t xml:space="preserve">% превышает уровень </w:t>
      </w:r>
      <w:r w:rsidR="007157B7">
        <w:t>2012 года</w:t>
      </w:r>
      <w:r>
        <w:t xml:space="preserve">. </w:t>
      </w:r>
    </w:p>
    <w:p w:rsidR="00375A38" w:rsidRDefault="00375A38" w:rsidP="00375A38">
      <w:pPr>
        <w:ind w:firstLine="709"/>
        <w:jc w:val="both"/>
      </w:pPr>
      <w:r>
        <w:t xml:space="preserve">3. Выручка от реализации продукции в целом по району </w:t>
      </w:r>
      <w:r w:rsidR="007157B7">
        <w:t>составила 35 097,5 млн. руб. или 97,4% по объективным причинам (снижение  цены на золото в 2013 году).</w:t>
      </w:r>
    </w:p>
    <w:p w:rsidR="00084479" w:rsidRDefault="00084479" w:rsidP="00375A38">
      <w:pPr>
        <w:ind w:firstLine="709"/>
        <w:jc w:val="both"/>
      </w:pPr>
      <w:r>
        <w:t>4.  Индекс физического объема в 2013 году составил:</w:t>
      </w:r>
    </w:p>
    <w:p w:rsidR="00084479" w:rsidRDefault="00084479" w:rsidP="00375A38">
      <w:pPr>
        <w:ind w:firstLine="709"/>
        <w:jc w:val="both"/>
      </w:pPr>
      <w:r>
        <w:t>- добыча полезных ископаемых – 110,1%;</w:t>
      </w:r>
    </w:p>
    <w:p w:rsidR="00084479" w:rsidRDefault="00084479" w:rsidP="00375A38">
      <w:pPr>
        <w:ind w:firstLine="709"/>
        <w:jc w:val="both"/>
      </w:pPr>
      <w:r>
        <w:t>-обрабатывающие производства -104,6%</w:t>
      </w:r>
    </w:p>
    <w:p w:rsidR="00084479" w:rsidRDefault="00084479" w:rsidP="00375A38">
      <w:pPr>
        <w:ind w:firstLine="709"/>
        <w:jc w:val="both"/>
      </w:pPr>
      <w:r>
        <w:lastRenderedPageBreak/>
        <w:t>- производство и распределение электроэнергии, воды – 83,9%. Снижение за счет  уменьшения производства электроэнергии (2012 г – 442,6 млн.Квт.час), 2013 г. – 357 млн.Квт.час.);</w:t>
      </w:r>
    </w:p>
    <w:p w:rsidR="007157B7" w:rsidRDefault="00084479" w:rsidP="00375A38">
      <w:pPr>
        <w:ind w:firstLine="709"/>
        <w:jc w:val="both"/>
      </w:pPr>
      <w:r>
        <w:t>5</w:t>
      </w:r>
      <w:r w:rsidR="00375A38">
        <w:t>. Рост объема отгруженной продукции в стоимостном выражении на 1 жителя района составил</w:t>
      </w:r>
      <w:r w:rsidR="007157B7">
        <w:t>:</w:t>
      </w:r>
    </w:p>
    <w:p w:rsidR="007157B7" w:rsidRDefault="007157B7" w:rsidP="00375A38">
      <w:pPr>
        <w:ind w:firstLine="709"/>
        <w:jc w:val="both"/>
      </w:pPr>
    </w:p>
    <w:tbl>
      <w:tblPr>
        <w:tblStyle w:val="af7"/>
        <w:tblW w:w="0" w:type="auto"/>
        <w:tblLook w:val="04A0"/>
      </w:tblPr>
      <w:tblGrid>
        <w:gridCol w:w="2235"/>
        <w:gridCol w:w="1984"/>
        <w:gridCol w:w="2126"/>
        <w:gridCol w:w="3369"/>
      </w:tblGrid>
      <w:tr w:rsidR="00592CEF" w:rsidTr="00592CEF">
        <w:tc>
          <w:tcPr>
            <w:tcW w:w="2235" w:type="dxa"/>
            <w:vAlign w:val="center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vAlign w:val="center"/>
          </w:tcPr>
          <w:p w:rsid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 xml:space="preserve">Объем отгруженной продукции, </w:t>
            </w:r>
          </w:p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Численность постоянного населения  района, чел.</w:t>
            </w:r>
          </w:p>
        </w:tc>
        <w:tc>
          <w:tcPr>
            <w:tcW w:w="3369" w:type="dxa"/>
            <w:vAlign w:val="center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Объем отгруженной продукции в стоимостном выражении на 1 жителя района</w:t>
            </w:r>
            <w:r>
              <w:rPr>
                <w:sz w:val="22"/>
                <w:szCs w:val="22"/>
              </w:rPr>
              <w:t>, тыс.руб.</w:t>
            </w:r>
          </w:p>
        </w:tc>
      </w:tr>
      <w:tr w:rsidR="00592CEF" w:rsidTr="00592CEF">
        <w:tc>
          <w:tcPr>
            <w:tcW w:w="2235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2012</w:t>
            </w:r>
          </w:p>
        </w:tc>
        <w:tc>
          <w:tcPr>
            <w:tcW w:w="1984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5 341 799</w:t>
            </w:r>
          </w:p>
        </w:tc>
        <w:tc>
          <w:tcPr>
            <w:tcW w:w="2126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21 646</w:t>
            </w:r>
          </w:p>
        </w:tc>
        <w:tc>
          <w:tcPr>
            <w:tcW w:w="3369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246,8</w:t>
            </w:r>
          </w:p>
        </w:tc>
      </w:tr>
      <w:tr w:rsidR="00592CEF" w:rsidTr="00592CEF">
        <w:tc>
          <w:tcPr>
            <w:tcW w:w="2235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2013</w:t>
            </w:r>
          </w:p>
        </w:tc>
        <w:tc>
          <w:tcPr>
            <w:tcW w:w="1984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 w:rsidRPr="00592C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592CEF">
              <w:rPr>
                <w:sz w:val="22"/>
                <w:szCs w:val="22"/>
              </w:rPr>
              <w:t>801</w:t>
            </w:r>
            <w:r>
              <w:rPr>
                <w:sz w:val="22"/>
                <w:szCs w:val="22"/>
              </w:rPr>
              <w:t xml:space="preserve"> 628</w:t>
            </w:r>
          </w:p>
        </w:tc>
        <w:tc>
          <w:tcPr>
            <w:tcW w:w="2126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</w:t>
            </w:r>
          </w:p>
        </w:tc>
        <w:tc>
          <w:tcPr>
            <w:tcW w:w="3369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272,9</w:t>
            </w:r>
          </w:p>
        </w:tc>
      </w:tr>
      <w:tr w:rsidR="00592CEF" w:rsidTr="00592CEF">
        <w:tc>
          <w:tcPr>
            <w:tcW w:w="2235" w:type="dxa"/>
          </w:tcPr>
          <w:p w:rsidR="00592CEF" w:rsidRPr="00592CEF" w:rsidRDefault="00592CEF" w:rsidP="00375A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роста, %</w:t>
            </w:r>
          </w:p>
        </w:tc>
        <w:tc>
          <w:tcPr>
            <w:tcW w:w="1984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2126" w:type="dxa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3369" w:type="dxa"/>
            <w:vAlign w:val="center"/>
          </w:tcPr>
          <w:p w:rsidR="00592CEF" w:rsidRPr="00592CEF" w:rsidRDefault="00592CEF" w:rsidP="0059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</w:tbl>
    <w:p w:rsidR="007157B7" w:rsidRDefault="007157B7" w:rsidP="00375A38">
      <w:pPr>
        <w:ind w:firstLine="709"/>
        <w:jc w:val="both"/>
      </w:pPr>
    </w:p>
    <w:p w:rsidR="00375A38" w:rsidRDefault="00084479" w:rsidP="00375A38">
      <w:pPr>
        <w:ind w:firstLine="709"/>
        <w:jc w:val="both"/>
      </w:pPr>
      <w:r>
        <w:t>6</w:t>
      </w:r>
      <w:r w:rsidR="00375A38">
        <w:t xml:space="preserve">. На </w:t>
      </w:r>
      <w:r>
        <w:t>4,7</w:t>
      </w:r>
      <w:r w:rsidR="00375A38">
        <w:t>% выросли доходы консолидированного бюджета района по налоговым и неналоговым поступлениям</w:t>
      </w:r>
      <w:r>
        <w:t xml:space="preserve"> по сравнению с 2012 г. На 6,2% увеличилась обеспеченность собственными доходами консолидированного бюджета на душу населения.</w:t>
      </w:r>
    </w:p>
    <w:p w:rsidR="00375A38" w:rsidRDefault="00084479" w:rsidP="00375A38">
      <w:pPr>
        <w:ind w:firstLine="709"/>
        <w:jc w:val="both"/>
      </w:pPr>
      <w:r>
        <w:t>7</w:t>
      </w:r>
      <w:r w:rsidR="00375A38">
        <w:t xml:space="preserve">. Введено в эксплуатацию </w:t>
      </w:r>
      <w:r>
        <w:t>861,4</w:t>
      </w:r>
      <w:r w:rsidR="00375A38">
        <w:t xml:space="preserve"> кв.м. жилья за счет индивидуальных застройщиков</w:t>
      </w:r>
      <w:r>
        <w:t xml:space="preserve"> (в 2012 г. – 1513 кв. м).</w:t>
      </w:r>
    </w:p>
    <w:p w:rsidR="00375A38" w:rsidRDefault="00084479" w:rsidP="00375A38">
      <w:pPr>
        <w:ind w:firstLine="709"/>
        <w:jc w:val="both"/>
      </w:pPr>
      <w:r>
        <w:t>8</w:t>
      </w:r>
      <w:r w:rsidR="00375A38">
        <w:t xml:space="preserve">. Оборот реализации розничной торговли, общественного питания и бытовых услуг увеличился на </w:t>
      </w:r>
      <w:r>
        <w:t>11,2</w:t>
      </w:r>
      <w:r w:rsidR="00375A38">
        <w:t xml:space="preserve">%. </w:t>
      </w:r>
    </w:p>
    <w:p w:rsidR="00375A38" w:rsidRDefault="00375A38" w:rsidP="00375A38">
      <w:pPr>
        <w:ind w:firstLine="709"/>
        <w:jc w:val="both"/>
      </w:pPr>
      <w:r>
        <w:t xml:space="preserve">В результате достижения определенной эффективности при реализации мероприятий </w:t>
      </w:r>
      <w:r w:rsidR="00084479">
        <w:t>П</w:t>
      </w:r>
      <w:r>
        <w:t>рогнозного плана повысились значения индикаторов уровня социально-экономического развития района за 201</w:t>
      </w:r>
      <w:r w:rsidR="00084479">
        <w:t>3</w:t>
      </w:r>
      <w:r>
        <w:t xml:space="preserve"> год:</w:t>
      </w:r>
    </w:p>
    <w:p w:rsidR="00375A38" w:rsidRDefault="00375A38" w:rsidP="00375A38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1"/>
        <w:gridCol w:w="1048"/>
        <w:gridCol w:w="1365"/>
        <w:gridCol w:w="1328"/>
        <w:gridCol w:w="1276"/>
      </w:tblGrid>
      <w:tr w:rsidR="00375A38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084479" w:rsidRDefault="00375A38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86049A" w:rsidRDefault="00375A38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86049A" w:rsidRDefault="00375A38" w:rsidP="0008447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201</w:t>
            </w:r>
            <w:r w:rsidR="00084479">
              <w:rPr>
                <w:rFonts w:ascii="Times New Roman" w:hAnsi="Times New Roman" w:cs="Times New Roman"/>
              </w:rPr>
              <w:t>2</w:t>
            </w:r>
            <w:r w:rsidRPr="008604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86049A" w:rsidRDefault="00375A38" w:rsidP="0008447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201</w:t>
            </w:r>
            <w:r w:rsidR="00084479">
              <w:rPr>
                <w:rFonts w:ascii="Times New Roman" w:hAnsi="Times New Roman" w:cs="Times New Roman"/>
              </w:rPr>
              <w:t>3</w:t>
            </w:r>
            <w:r w:rsidRPr="008604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A38" w:rsidRPr="007E635B" w:rsidRDefault="00375A38" w:rsidP="00084479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5B">
              <w:rPr>
                <w:rFonts w:ascii="Times New Roman" w:hAnsi="Times New Roman" w:cs="Times New Roman"/>
                <w:sz w:val="20"/>
                <w:szCs w:val="20"/>
              </w:rPr>
              <w:t>Динамика 201</w:t>
            </w:r>
            <w:r w:rsidR="00084479" w:rsidRPr="007E6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635B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084479" w:rsidRPr="007E6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635B">
              <w:rPr>
                <w:rFonts w:ascii="Times New Roman" w:hAnsi="Times New Roman" w:cs="Times New Roman"/>
                <w:sz w:val="20"/>
                <w:szCs w:val="20"/>
              </w:rPr>
              <w:t xml:space="preserve"> гг., %</w:t>
            </w:r>
            <w:r w:rsidR="007E635B">
              <w:rPr>
                <w:rFonts w:ascii="Times New Roman" w:hAnsi="Times New Roman" w:cs="Times New Roman"/>
                <w:sz w:val="20"/>
                <w:szCs w:val="20"/>
              </w:rPr>
              <w:t>, (+,-)</w:t>
            </w:r>
          </w:p>
        </w:tc>
      </w:tr>
      <w:tr w:rsidR="00375A38" w:rsidRPr="00864B86" w:rsidTr="009821D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5A38" w:rsidRPr="00084479" w:rsidRDefault="00375A38" w:rsidP="007A60F9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2"/>
                <w:szCs w:val="22"/>
              </w:rPr>
              <w:t>Итоги развития МО</w:t>
            </w:r>
          </w:p>
        </w:tc>
      </w:tr>
      <w:tr w:rsidR="00375A38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38" w:rsidRPr="00593B2D" w:rsidRDefault="00375A38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593B2D" w:rsidRDefault="00375A38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21 646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38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21 260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A38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Родилось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Умерло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- 114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E084C">
            <w:pPr>
              <w:pStyle w:val="ae"/>
              <w:ind w:firstLine="34"/>
              <w:rPr>
                <w:rFonts w:ascii="Times New Roman" w:hAnsi="Times New Roman" w:cs="Times New Roman"/>
                <w:vertAlign w:val="superscript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Прибыло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 2,7 раза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E084C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Убыло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 1,5 раз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Миграционный прирост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-424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- 38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E552C0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E552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 xml:space="preserve"> работающих</w:t>
            </w:r>
            <w:r w:rsidR="00E55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 организациях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Уровень безработицы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- 0,03</w:t>
            </w:r>
          </w:p>
        </w:tc>
      </w:tr>
      <w:tr w:rsidR="00084479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9" w:rsidRPr="00593B2D" w:rsidRDefault="00084479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Среднемесячная заработная плата </w:t>
            </w:r>
            <w:r w:rsidR="00E552C0">
              <w:rPr>
                <w:rFonts w:ascii="Times New Roman" w:hAnsi="Times New Roman" w:cs="Times New Roman"/>
                <w:sz w:val="22"/>
                <w:szCs w:val="22"/>
              </w:rPr>
              <w:t>по району - 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084479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46 552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46 942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79" w:rsidRPr="00593B2D" w:rsidRDefault="007E084C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E552C0" w:rsidRPr="00E552C0" w:rsidTr="00E552C0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среднемесячная заработная плата работников бюджетной сферы, финансируемых из местного бюджета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16 759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145,7</w:t>
            </w:r>
          </w:p>
        </w:tc>
      </w:tr>
      <w:tr w:rsidR="00E552C0" w:rsidRPr="00E552C0" w:rsidTr="00E552C0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 образование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15 752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127,7</w:t>
            </w:r>
          </w:p>
        </w:tc>
      </w:tr>
      <w:tr w:rsidR="00E552C0" w:rsidRPr="00E552C0" w:rsidTr="00E552C0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Default="00E552C0" w:rsidP="00E552C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AE5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AE5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14 882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E552C0" w:rsidRDefault="00E552C0" w:rsidP="00E552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23 204 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E552C0" w:rsidRDefault="00E552C0" w:rsidP="00AE5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155,9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продукции, работ, услуг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36 042,3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35 097,5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9821DC">
            <w:pPr>
              <w:pStyle w:val="ae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9821D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1 665,0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1 651,0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D57D82">
            <w:pPr>
              <w:pStyle w:val="ae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Выручка о  реализации продукции, работ, услуг ( в действующих ценах) - 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593B2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9821D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36 408,2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D57D82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593B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добыча полезных ископаемых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593B2D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593B2D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32 088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593B2D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30 734,1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593B2D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593B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315,6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593B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производство и распределение электроэнергии, газа и 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1 675,2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1905,8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133,8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Прибыль предприятий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B52D6C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6F5A70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7 015,7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B52D6C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7 332,6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+ 316,9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Убыток предприятий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6F5A70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1 213,1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1 118,9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+ 94,2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B52D6C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Доля прибыльных предприятий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6F5A70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6F5A70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+ 0,01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План по налогам и сборам в консолидированный бюджет МО г. Бодайбо и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562,8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660,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117,3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Поступление налогов и сборов в консолидированный бюджет МО г. Бодайбо и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625,7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104,7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1 513,0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861,4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1 479,3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1 645,1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111,2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593B2D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Объем оптовой и розничной торговли, ремонта автотранспортных средств, мотоциклов, бытовых изделий и предметов личного пользования на одного жителя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6F5A70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593B2D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93B2D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084479" w:rsidRDefault="00E552C0" w:rsidP="007A60F9">
            <w:pPr>
              <w:pStyle w:val="ae"/>
              <w:ind w:firstLine="34"/>
              <w:jc w:val="left"/>
              <w:rPr>
                <w:rFonts w:ascii="Times New Roman" w:hAnsi="Times New Roman" w:cs="Times New Roman"/>
                <w:i/>
              </w:rPr>
            </w:pPr>
            <w:r w:rsidRPr="00084479">
              <w:rPr>
                <w:rFonts w:ascii="Times New Roman" w:hAnsi="Times New Roman" w:cs="Times New Roman"/>
                <w:i/>
                <w:sz w:val="22"/>
                <w:szCs w:val="22"/>
              </w:rPr>
              <w:t>Малый бизнес: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084479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2"/>
                <w:szCs w:val="22"/>
              </w:rPr>
              <w:t>Число действующих малых предприятий (без учета микропредприятий) - 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084479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индивидуальных предпринимателей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E552C0" w:rsidRPr="00864B86" w:rsidTr="009821DC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0" w:rsidRPr="00084479" w:rsidRDefault="00E552C0" w:rsidP="007A60F9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2"/>
                <w:szCs w:val="22"/>
              </w:rPr>
              <w:t>Удельный вес выручки предприятий малого и среднего бизнеса в выручке в целом по МО г. Бодайбо и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C061C7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6049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2C0" w:rsidRPr="0086049A" w:rsidRDefault="00E552C0" w:rsidP="007A60F9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+ 2,2</w:t>
            </w:r>
          </w:p>
        </w:tc>
      </w:tr>
    </w:tbl>
    <w:p w:rsidR="00375A38" w:rsidRDefault="00375A38" w:rsidP="00375A3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375A38" w:rsidRDefault="00375A38" w:rsidP="00375A3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FF3">
        <w:rPr>
          <w:rFonts w:ascii="Times New Roman" w:hAnsi="Times New Roman" w:cs="Times New Roman"/>
          <w:sz w:val="24"/>
          <w:szCs w:val="24"/>
        </w:rPr>
        <w:t xml:space="preserve">Основные результаты выполнения </w:t>
      </w:r>
      <w:r w:rsidR="00DA3812">
        <w:rPr>
          <w:rFonts w:ascii="Times New Roman" w:hAnsi="Times New Roman" w:cs="Times New Roman"/>
          <w:sz w:val="24"/>
          <w:szCs w:val="24"/>
        </w:rPr>
        <w:t>П</w:t>
      </w:r>
      <w:r w:rsidRPr="001A4FF3">
        <w:rPr>
          <w:rFonts w:ascii="Times New Roman" w:hAnsi="Times New Roman" w:cs="Times New Roman"/>
          <w:sz w:val="24"/>
          <w:szCs w:val="24"/>
        </w:rPr>
        <w:t>рогнозного плана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0B0A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75A38" w:rsidRDefault="00375A38" w:rsidP="00375A38">
      <w:pPr>
        <w:ind w:firstLine="709"/>
      </w:pPr>
    </w:p>
    <w:p w:rsidR="00375A38" w:rsidRPr="008437A1" w:rsidRDefault="00375A38" w:rsidP="00375A38">
      <w:pPr>
        <w:ind w:firstLine="709"/>
        <w:jc w:val="center"/>
        <w:rPr>
          <w:b/>
        </w:rPr>
      </w:pPr>
      <w:r w:rsidRPr="008437A1">
        <w:rPr>
          <w:b/>
        </w:rPr>
        <w:t>Исполнение бюджета за 201</w:t>
      </w:r>
      <w:r w:rsidR="000B0AC0">
        <w:rPr>
          <w:b/>
        </w:rPr>
        <w:t>3</w:t>
      </w:r>
      <w:r w:rsidRPr="008437A1">
        <w:rPr>
          <w:b/>
        </w:rPr>
        <w:t xml:space="preserve"> год</w:t>
      </w:r>
    </w:p>
    <w:p w:rsidR="00375A38" w:rsidRDefault="00375A38" w:rsidP="00375A38">
      <w:pPr>
        <w:ind w:firstLine="709"/>
        <w:jc w:val="both"/>
      </w:pPr>
    </w:p>
    <w:p w:rsidR="00C061C7" w:rsidRDefault="00C061C7" w:rsidP="00C061C7">
      <w:pPr>
        <w:ind w:firstLine="709"/>
        <w:jc w:val="both"/>
      </w:pPr>
      <w:r>
        <w:t>За 2013 год в бюджет Муниципального образования г.Бодайбо и района поступили доходы в сумме 862,8 млн. руб. (приложение 1), что составляет 99 % уточненного годового плана или 94,4 % к исполнению 2012 года, из них: налоговые и неналоговые доходы – 559,4 млн. руб. (99,2 % уточненного годового плана или 107</w:t>
      </w:r>
      <w:bookmarkStart w:id="3" w:name="_GoBack"/>
      <w:bookmarkEnd w:id="3"/>
      <w:r>
        <w:t xml:space="preserve"> % к исполнению 2012 года), безвозмездные поступления из других бюджетов – 303,4 млн. руб. (98,8 % уточненного годового плана или 77,7 % к исполнению 2012 года)  (субвенции на образование и на исполнение областных государственных полномочий; субсидии на приобретение и доставку топлива для обеспечения деятельности муниципальных учреждений, на реализацию целевых программ Иркутской области и пр.). В сравнении с 2012 годом поступление доходов уменьшилось на 51 633,3 тыс. рублей, поступление налоговых и неналоговых увеличилось на 35 359,7 тыс. рублей, поступление безвозмездных поступлений уменьшилось на 86 993 тыс. рублей.  </w:t>
      </w:r>
    </w:p>
    <w:p w:rsidR="00C061C7" w:rsidRDefault="00C061C7" w:rsidP="00C061C7">
      <w:pPr>
        <w:ind w:firstLine="709"/>
        <w:jc w:val="both"/>
      </w:pPr>
      <w:r w:rsidRPr="00417418">
        <w:t xml:space="preserve">Расходная часть  бюджета </w:t>
      </w:r>
      <w:r>
        <w:t xml:space="preserve">Муниципального образования г.Бодайбо и района </w:t>
      </w:r>
      <w:r w:rsidRPr="00417418">
        <w:t xml:space="preserve">за 2013 год исполнена в сумме </w:t>
      </w:r>
      <w:r>
        <w:t>882,5 млн.</w:t>
      </w:r>
      <w:r w:rsidRPr="00417418">
        <w:t xml:space="preserve"> рублей</w:t>
      </w:r>
      <w:r>
        <w:t xml:space="preserve"> </w:t>
      </w:r>
      <w:r w:rsidRPr="00417418">
        <w:t xml:space="preserve">(приложение 2), что составляет </w:t>
      </w:r>
      <w:r>
        <w:t>95</w:t>
      </w:r>
      <w:r w:rsidRPr="00417418">
        <w:t xml:space="preserve"> % уточненного годового плана или </w:t>
      </w:r>
      <w:r>
        <w:t xml:space="preserve">95,9 </w:t>
      </w:r>
      <w:r w:rsidRPr="00417418">
        <w:t xml:space="preserve">%  к исполнению 2012 года. При этом сложилась просроченная кредиторская задолженность в муниципальных учреждениях по состоянию на 01.01.2014 г. в общей </w:t>
      </w:r>
      <w:r w:rsidRPr="009940CB">
        <w:t xml:space="preserve">сумме 3,3 </w:t>
      </w:r>
      <w:r>
        <w:t xml:space="preserve">млн. </w:t>
      </w:r>
      <w:r w:rsidRPr="00417418">
        <w:t>рублей.  Кредиторской задолженности по начислениям на оплату труда, коммунальным услугам нет.</w:t>
      </w:r>
    </w:p>
    <w:p w:rsidR="00C061C7" w:rsidRDefault="00C061C7" w:rsidP="00C061C7">
      <w:pPr>
        <w:ind w:firstLine="709"/>
        <w:jc w:val="both"/>
      </w:pPr>
      <w:r>
        <w:t xml:space="preserve"> Расходы на оплату коммунальных услуг муниципальных учреждений составили 54,6 млн. руб.</w:t>
      </w:r>
    </w:p>
    <w:p w:rsidR="00C061C7" w:rsidRDefault="00C061C7" w:rsidP="00C061C7">
      <w:pPr>
        <w:ind w:firstLine="709"/>
        <w:jc w:val="both"/>
      </w:pPr>
      <w:r>
        <w:lastRenderedPageBreak/>
        <w:t>Расходы на содержание учреждений и мероприятий социальной сферы (образование, культура, здравоохранение, социальная политика) составили 728,7 млн. руб., что составляет 82,6% расходов бюджета. Из них: расходы на образование составили 595 млн. руб., на мероприятия и содержание учреждений культуры – 105,7 млн. руб., на  мероприятия по социальной политике – 28 млн. руб.</w:t>
      </w:r>
    </w:p>
    <w:p w:rsidR="00C061C7" w:rsidRDefault="00C061C7" w:rsidP="00C061C7">
      <w:pPr>
        <w:ind w:firstLine="709"/>
        <w:jc w:val="both"/>
      </w:pPr>
      <w:r>
        <w:t>Расходы на  жилищно-коммунальное хозяйство составили  10,9 млн. руб. – это расходы:</w:t>
      </w:r>
    </w:p>
    <w:p w:rsidR="00C061C7" w:rsidRDefault="00C061C7" w:rsidP="00C061C7">
      <w:pPr>
        <w:ind w:firstLine="709"/>
        <w:jc w:val="both"/>
      </w:pPr>
      <w:r>
        <w:t>- на реализацию долгосрочной муниципальной целевой программы «Строительство 16-ти квартирного жилого дома для работников бюджетных учреждений муниципального образования г.Бодайбо и района в г.Бодайбо на 2013 – 2015 годы»  – 10 млн. руб.;</w:t>
      </w:r>
    </w:p>
    <w:p w:rsidR="00C061C7" w:rsidRDefault="00C061C7" w:rsidP="00C061C7">
      <w:pPr>
        <w:ind w:firstLine="709"/>
        <w:jc w:val="both"/>
      </w:pPr>
      <w:r>
        <w:t>- на переданные полномочия по долгосрочной целевой программе «Энергосбережение и повышение энергетической эффективности на территории Иркутской области на 2011 – 2015 годы и на период до 2020 года  – 0,9 млн. руб.</w:t>
      </w:r>
    </w:p>
    <w:p w:rsidR="00C061C7" w:rsidRDefault="00C061C7" w:rsidP="00C061C7">
      <w:pPr>
        <w:ind w:firstLine="709"/>
        <w:jc w:val="both"/>
      </w:pPr>
      <w:r>
        <w:t>Расходы на общегосударственные вопросы составили 85,6 млн. руб.  – это содержание органов местного самоуправления  и их подведомственных учреждений, исполнение областных государственных полномочий и пр.</w:t>
      </w:r>
    </w:p>
    <w:p w:rsidR="00C061C7" w:rsidRDefault="00C061C7" w:rsidP="00C061C7">
      <w:pPr>
        <w:ind w:firstLine="709"/>
        <w:jc w:val="both"/>
      </w:pPr>
      <w:r>
        <w:t>Дефицит бюджета составил 19,7 млн. руб. или 3,52 % от суммы налоговых и неналоговых доходов, муниципальный долг по состоянию на 01.01.2014г. отсутствует.</w:t>
      </w:r>
    </w:p>
    <w:p w:rsidR="00C061C7" w:rsidRPr="00297C77" w:rsidRDefault="00C061C7" w:rsidP="00C061C7">
      <w:pPr>
        <w:ind w:firstLine="709"/>
        <w:jc w:val="both"/>
      </w:pPr>
    </w:p>
    <w:p w:rsidR="00C061C7" w:rsidRDefault="00C061C7" w:rsidP="00C061C7">
      <w:pPr>
        <w:jc w:val="center"/>
        <w:rPr>
          <w:bCs/>
        </w:rPr>
      </w:pPr>
      <w:r w:rsidRPr="00157CA2">
        <w:rPr>
          <w:bCs/>
        </w:rPr>
        <w:t xml:space="preserve">Строительство, капитальный и текущий ремонты </w:t>
      </w:r>
    </w:p>
    <w:p w:rsidR="00C061C7" w:rsidRDefault="00C061C7" w:rsidP="00C061C7">
      <w:pPr>
        <w:jc w:val="center"/>
        <w:rPr>
          <w:bCs/>
        </w:rPr>
      </w:pPr>
    </w:p>
    <w:p w:rsidR="00C061C7" w:rsidRPr="00157CA2" w:rsidRDefault="00C061C7" w:rsidP="00C061C7">
      <w:pPr>
        <w:rPr>
          <w:bCs/>
        </w:rPr>
      </w:pPr>
      <w:r>
        <w:rPr>
          <w:bCs/>
        </w:rPr>
        <w:tab/>
        <w:t xml:space="preserve">В целях укрепления материально-технической базы муниципальных учреждений из </w:t>
      </w:r>
      <w:r w:rsidRPr="00157CA2">
        <w:rPr>
          <w:bCs/>
        </w:rPr>
        <w:t>бюджета МО г. Бодайбо и района</w:t>
      </w:r>
      <w:r>
        <w:rPr>
          <w:bCs/>
        </w:rPr>
        <w:t xml:space="preserve"> в рамках деятельности МКУ «Управление капитального строительства администрации г. Бодайбо и района» было израсходовано:</w:t>
      </w:r>
    </w:p>
    <w:p w:rsidR="00C061C7" w:rsidRPr="00BC1AC3" w:rsidRDefault="00C061C7" w:rsidP="00C061C7">
      <w:pPr>
        <w:jc w:val="center"/>
        <w:rPr>
          <w:bCs/>
        </w:rPr>
      </w:pPr>
    </w:p>
    <w:tbl>
      <w:tblPr>
        <w:tblW w:w="0" w:type="auto"/>
        <w:tblLayout w:type="fixed"/>
        <w:tblLook w:val="04A0"/>
      </w:tblPr>
      <w:tblGrid>
        <w:gridCol w:w="662"/>
        <w:gridCol w:w="2848"/>
        <w:gridCol w:w="4820"/>
        <w:gridCol w:w="1241"/>
      </w:tblGrid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№№ п/п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Суммы затрат</w:t>
            </w:r>
          </w:p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 тыс. руб.</w:t>
            </w:r>
          </w:p>
        </w:tc>
      </w:tr>
      <w:tr w:rsidR="00C061C7" w:rsidRPr="00BC1AC3" w:rsidTr="00C061C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Управление образования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МОУ СОШ № 3 г. Бодайбо </w:t>
            </w:r>
          </w:p>
          <w:p w:rsidR="00C061C7" w:rsidRPr="00A64DC6" w:rsidRDefault="00C061C7" w:rsidP="00C061C7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Замена деревянных оконных блоков на пластиковые,  капитальный ремонт фасада спортзала,  устройство ограждения (1-ый этап), замена оконных блоков в спортзале, гардеробной, на лестничных маршах, ремонт кровли над спортзалом и ремонт фасада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1 793,9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МОУ Мамаканская СОШ (здание начальных классов)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Проведен ремонт крыши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378,8</w:t>
            </w:r>
          </w:p>
        </w:tc>
      </w:tr>
      <w:tr w:rsidR="00C061C7" w:rsidRPr="00BC1AC3" w:rsidTr="00C061C7"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МОУ Ма</w:t>
            </w:r>
            <w:r w:rsidR="00A64DC6" w:rsidRPr="00A64DC6">
              <w:rPr>
                <w:bCs/>
                <w:sz w:val="22"/>
                <w:szCs w:val="22"/>
              </w:rPr>
              <w:t>ма</w:t>
            </w:r>
            <w:r w:rsidRPr="00A64DC6">
              <w:rPr>
                <w:bCs/>
                <w:sz w:val="22"/>
                <w:szCs w:val="22"/>
              </w:rPr>
              <w:t>канская СОШ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Выполнение экспертных услуг по ПСД на строительство школы (положительное заключение  экспертизы по ПСД получено)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170,7</w:t>
            </w:r>
          </w:p>
        </w:tc>
      </w:tr>
      <w:tr w:rsidR="00C061C7" w:rsidRPr="00BC1AC3" w:rsidTr="00C061C7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Дополнительное изучение инженерно-геологических условий на площадке СОШ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99,8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МОУ Кропоткинская СОШ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Ремонт здания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855,6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МКОУ Перевозовская СОШ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Капитальный ремонт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721,4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МКОУ Мараканская ООМШ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Демонтаж и монтаж водопровода, ремонт цокольного перекрытия и канализации, устройство многофункциональной спортивной площадки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676,4</w:t>
            </w:r>
          </w:p>
        </w:tc>
      </w:tr>
      <w:tr w:rsidR="00C061C7" w:rsidRPr="00BC1AC3" w:rsidTr="00C061C7">
        <w:trPr>
          <w:trHeight w:val="441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МОУ НШ - д/с № 35 «Радуга»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Ремонт отмостки, ремонт площадок входных групп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116,8</w:t>
            </w:r>
          </w:p>
        </w:tc>
      </w:tr>
      <w:tr w:rsidR="00C061C7" w:rsidRPr="00BC1AC3" w:rsidTr="00C061C7">
        <w:trPr>
          <w:trHeight w:val="52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МДОУ д/с №5 «Брусничка»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Благоустройство территории, работы по обрамлению дорожек и устройству ограждения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1 667,4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МДОУ д/с № 14 «Теремок» </w:t>
            </w:r>
            <w:r w:rsidRPr="00A64DC6">
              <w:rPr>
                <w:bCs/>
                <w:sz w:val="22"/>
                <w:szCs w:val="22"/>
              </w:rPr>
              <w:lastRenderedPageBreak/>
              <w:t>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lastRenderedPageBreak/>
              <w:t>Капитальный ремонт пищеблока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277,3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МДОУ д/с № 8 «Буратино» пос. Мамакан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Благоустройство территории  - устройство теневых навесов, текущий ремонт помещений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502,5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МДОУ д/с № 22 «Улыбка» пос. Артемовский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Ремонт в туалетных комнатах ясельного корпуса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 222,1</w:t>
            </w:r>
          </w:p>
        </w:tc>
      </w:tr>
      <w:tr w:rsidR="00C061C7" w:rsidRPr="00BC1AC3" w:rsidTr="00C061C7"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Строительство детского сада в п. Кропоткин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Выполнены топографические работы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49,8</w:t>
            </w:r>
          </w:p>
        </w:tc>
      </w:tr>
      <w:tr w:rsidR="00C061C7" w:rsidRPr="00BC1AC3" w:rsidTr="00C061C7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Были выполнены проектные работы, оплата не производилась. Стоимость п</w:t>
            </w:r>
            <w:r w:rsidR="00A64DC6" w:rsidRPr="00A64DC6">
              <w:rPr>
                <w:bCs/>
                <w:sz w:val="22"/>
                <w:szCs w:val="22"/>
              </w:rPr>
              <w:t>о</w:t>
            </w:r>
            <w:r w:rsidRPr="00A64DC6">
              <w:rPr>
                <w:bCs/>
                <w:sz w:val="22"/>
                <w:szCs w:val="22"/>
              </w:rPr>
              <w:t xml:space="preserve"> контракту 2,0 млн. руб. Оплата после сдачи ПСД на экспертизу.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-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МКУ ДОД Дом детского творчества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Проведены работы по устройству гидроизоляции фундаментов и ремонт фасада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1 429,9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Лыжная база в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Снос старого здания лыжной базы, благоустройство территории, ограждение территории лыжной базы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887,6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Многофункциональная спортивная площадка в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Устройство основания под настил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996,8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Физкультурно-оздорови-тельный комплекс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A64DC6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Инженерно-геологические и  инженерно-геодезические изыскания, разработка ПСД на строительство ФОК, </w:t>
            </w:r>
            <w:r w:rsidR="00A64DC6" w:rsidRPr="00A64DC6">
              <w:rPr>
                <w:bCs/>
                <w:sz w:val="22"/>
                <w:szCs w:val="22"/>
              </w:rPr>
              <w:t xml:space="preserve">оказание </w:t>
            </w:r>
            <w:r w:rsidRPr="00A64DC6">
              <w:rPr>
                <w:bCs/>
                <w:sz w:val="22"/>
                <w:szCs w:val="22"/>
              </w:rPr>
              <w:t>экспертных услуг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949,2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ДОЛ «Звездочка»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Разработка ПСД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485,4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12 281,4</w:t>
            </w:r>
          </w:p>
        </w:tc>
      </w:tr>
      <w:tr w:rsidR="00C061C7" w:rsidRPr="00BC1AC3" w:rsidTr="00C061C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Управление культуры 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ДМШ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Ремонт помещения ранее занимаемого  Спецсвязью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410,6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Центральная библиотека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Строительство книгохранилища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1 459,8</w:t>
            </w:r>
          </w:p>
        </w:tc>
      </w:tr>
      <w:tr w:rsidR="00C061C7" w:rsidRPr="00BC1AC3" w:rsidTr="00C061C7"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Городской парк г.Бодайбо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A64DC6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Замена кабеля, демонтаж ограждения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5 032,9</w:t>
            </w:r>
          </w:p>
        </w:tc>
      </w:tr>
      <w:tr w:rsidR="00C061C7" w:rsidRPr="00BC1AC3" w:rsidTr="00C061C7">
        <w:tc>
          <w:tcPr>
            <w:tcW w:w="9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1C7" w:rsidRPr="00A64DC6" w:rsidRDefault="00C061C7" w:rsidP="00C061C7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в т.ч. работы по благоустройству по проекту «Народные инициативы»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4 808,7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A64DC6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 xml:space="preserve">Клуб </w:t>
            </w:r>
            <w:r w:rsidR="00A64DC6">
              <w:rPr>
                <w:bCs/>
                <w:sz w:val="22"/>
                <w:szCs w:val="22"/>
              </w:rPr>
              <w:t>м-на</w:t>
            </w:r>
            <w:r w:rsidRPr="00A64DC6">
              <w:rPr>
                <w:bCs/>
                <w:sz w:val="22"/>
                <w:szCs w:val="22"/>
              </w:rPr>
              <w:t xml:space="preserve"> Бисяга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A64DC6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Работы по капитальному ремонту здания, ремонт электроосвещения и отопления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2 014,0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8 917,3</w:t>
            </w:r>
          </w:p>
        </w:tc>
      </w:tr>
      <w:tr w:rsidR="00C061C7" w:rsidRPr="00BC1AC3" w:rsidTr="00C061C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Администрация г. Бодайбо и района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both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16-ти квартирный жилой дом для работников бюджетных учреждений в г. Бодайбо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Начато строительство жилого дома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10 000,0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10 000,0</w:t>
            </w:r>
          </w:p>
        </w:tc>
      </w:tr>
      <w:tr w:rsidR="00C061C7" w:rsidRPr="00BC1AC3" w:rsidTr="00C061C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C7" w:rsidRPr="00A64DC6" w:rsidRDefault="00C061C7" w:rsidP="00C061C7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C7" w:rsidRPr="00A64DC6" w:rsidRDefault="00C061C7" w:rsidP="00C061C7">
            <w:pPr>
              <w:jc w:val="center"/>
              <w:rPr>
                <w:bCs/>
              </w:rPr>
            </w:pPr>
            <w:r w:rsidRPr="00A64DC6">
              <w:rPr>
                <w:bCs/>
                <w:sz w:val="22"/>
                <w:szCs w:val="22"/>
              </w:rPr>
              <w:t>31 198,7</w:t>
            </w:r>
          </w:p>
        </w:tc>
      </w:tr>
      <w:bookmarkEnd w:id="2"/>
    </w:tbl>
    <w:p w:rsidR="00A64DC6" w:rsidRDefault="00A64DC6" w:rsidP="00375A38">
      <w:pPr>
        <w:ind w:firstLine="709"/>
        <w:jc w:val="center"/>
        <w:rPr>
          <w:b/>
        </w:rPr>
      </w:pPr>
    </w:p>
    <w:p w:rsidR="00375A38" w:rsidRDefault="00375A38" w:rsidP="00375A38">
      <w:pPr>
        <w:ind w:firstLine="709"/>
        <w:jc w:val="center"/>
        <w:rPr>
          <w:b/>
        </w:rPr>
      </w:pPr>
      <w:r>
        <w:rPr>
          <w:b/>
        </w:rPr>
        <w:t xml:space="preserve">Достигнутый экономический потенциал </w:t>
      </w:r>
      <w:r w:rsidRPr="008437A1">
        <w:rPr>
          <w:b/>
        </w:rPr>
        <w:t>района</w:t>
      </w:r>
    </w:p>
    <w:p w:rsidR="00375A38" w:rsidRPr="008437A1" w:rsidRDefault="00375A38" w:rsidP="00375A38">
      <w:pPr>
        <w:ind w:firstLine="709"/>
        <w:jc w:val="center"/>
        <w:rPr>
          <w:b/>
        </w:rPr>
      </w:pP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 xml:space="preserve">Общее количество предприятий, организаций и учреждений на территории Бодайбинского района </w:t>
      </w:r>
      <w:r>
        <w:t xml:space="preserve">- </w:t>
      </w:r>
      <w:r w:rsidRPr="00515289">
        <w:t>718, из них 214 индивидуальных предпринимателей, имеющих наемных работников.</w:t>
      </w: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На территории района осуществляются следующие виды производственной деятельности:</w:t>
      </w:r>
    </w:p>
    <w:p w:rsidR="00C061C7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- добыча полезных ископаемых (золото);</w:t>
      </w: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- металлургическое производство и производство готовых металлических изделий;</w:t>
      </w: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- обрабатывающие производства:</w:t>
      </w: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- производство пищевых продуктов;</w:t>
      </w:r>
    </w:p>
    <w:p w:rsidR="00C061C7" w:rsidRPr="00515289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15289">
        <w:t>- производство и распределение электроэнергии и воды.</w:t>
      </w:r>
    </w:p>
    <w:p w:rsidR="00C061C7" w:rsidRDefault="00C061C7" w:rsidP="00C061C7">
      <w:pPr>
        <w:ind w:firstLine="705"/>
        <w:jc w:val="both"/>
      </w:pPr>
      <w:r w:rsidRPr="00890FE7">
        <w:rPr>
          <w:u w:val="single"/>
        </w:rPr>
        <w:lastRenderedPageBreak/>
        <w:t>Золотодобыча</w:t>
      </w:r>
      <w:r>
        <w:t xml:space="preserve">. </w:t>
      </w:r>
      <w:r w:rsidRPr="00515289">
        <w:t>Основ</w:t>
      </w:r>
      <w:r>
        <w:t xml:space="preserve">а </w:t>
      </w:r>
      <w:r w:rsidRPr="00515289">
        <w:t xml:space="preserve">экономики </w:t>
      </w:r>
      <w:r>
        <w:t xml:space="preserve">Бодайбинского </w:t>
      </w:r>
      <w:r w:rsidRPr="00515289">
        <w:t xml:space="preserve">района </w:t>
      </w:r>
      <w:r>
        <w:t xml:space="preserve">- </w:t>
      </w:r>
      <w:r w:rsidRPr="00515289">
        <w:t xml:space="preserve">золотодобыча. </w:t>
      </w:r>
      <w:r>
        <w:t>В 2013 году в день празднования 20-летия со дня принятия Конституции РФ Бодайбинский район установил новый рекорд по золотодобыче</w:t>
      </w:r>
      <w:r w:rsidR="00A64DC6">
        <w:t>. Д</w:t>
      </w:r>
      <w:r>
        <w:t xml:space="preserve">обыто рекордное количество драгметалла в количестве 20,5 тн, в т.ч. россыпного – 11,8 тн, рудного – 8,7 тн. </w:t>
      </w:r>
    </w:p>
    <w:p w:rsidR="00C061C7" w:rsidRPr="002E6EAF" w:rsidRDefault="00C061C7" w:rsidP="00C061C7">
      <w:pPr>
        <w:ind w:firstLine="708"/>
        <w:jc w:val="both"/>
      </w:pPr>
      <w:r>
        <w:t>В связи с этим</w:t>
      </w:r>
      <w:r w:rsidRPr="002E6EAF">
        <w:t xml:space="preserve"> район является лидером по валовому внутреннему продукту на душу населения. Это было отмечено </w:t>
      </w:r>
      <w:r w:rsidR="00A64DC6">
        <w:t>Г</w:t>
      </w:r>
      <w:r w:rsidRPr="002E6EAF">
        <w:t xml:space="preserve">убернатором Иркутской области, который лично позвонил и поздравил всех жителей Бодайбинского района с этим знаменательным событием. </w:t>
      </w:r>
    </w:p>
    <w:p w:rsidR="00C061C7" w:rsidRDefault="00C061C7" w:rsidP="00C061C7">
      <w:pPr>
        <w:ind w:firstLine="705"/>
        <w:jc w:val="both"/>
      </w:pPr>
      <w:r>
        <w:t>Лидерами среди предприятий, которые обеспечили кроме выполнения плана и перевыполнения планового объема аффинированного золота и высокую эффективность, а также малые затраты и высокую прибыльность, стали:</w:t>
      </w:r>
    </w:p>
    <w:p w:rsidR="00C061C7" w:rsidRDefault="00C061C7" w:rsidP="00C061C7">
      <w:pPr>
        <w:ind w:firstLine="705"/>
        <w:jc w:val="both"/>
      </w:pPr>
      <w:r>
        <w:t>- предприятия, входящие в группу компании ОАО «Полюс золото»: ЗАО ЗДК «Лензолото» (россыпное направление) и ОАО «Первенец» (рудное направление</w:t>
      </w:r>
      <w:r w:rsidR="00A64DC6">
        <w:t xml:space="preserve"> </w:t>
      </w:r>
      <w:r>
        <w:t>ГОК «Вернинский»), которые обеспечили более 45% добытого в районе золота. С целью восп</w:t>
      </w:r>
      <w:r w:rsidR="00A64DC6">
        <w:t>роизводства</w:t>
      </w:r>
      <w:r>
        <w:t xml:space="preserve"> минерально-сырьевой базы предприятий собственными силами и с привлечением ООО «Ленгео» проводились геологические работы и эксплуатационная разведка. В 2013 году объем выполненных геологоразведочных работ обеспечил прирост запасов драгоценного металла в размере более 2 тн. В перспективе до 2020 года ОАО «Полюс золото» планирует вложить в развитие производства Бодайбинского района 1 млрд. 200 млн. долл. Основные объекты инвестиций: ГОК «Вернинский», ЛЭП 220 кВ «Пеледуй-</w:t>
      </w:r>
      <w:r w:rsidR="00A64DC6">
        <w:t>Чертово Корыто-Сухой Лог-Мамакан»</w:t>
      </w:r>
      <w:r>
        <w:t>, золоторудное месторождение «Чертово корыто» и продолжение освоения россыпных месторождений.</w:t>
      </w:r>
    </w:p>
    <w:p w:rsidR="00C061C7" w:rsidRDefault="00C061C7" w:rsidP="00C061C7">
      <w:pPr>
        <w:ind w:firstLine="705"/>
        <w:jc w:val="both"/>
      </w:pPr>
      <w:r>
        <w:t>- ОАО «Высочайший» (рудное направление). Предприятие в 2013 году по итогам работы в 2012 году в шестой раз победило в Рейтинге хозяйствующих субъектов Иркутской области. В 2013 году предприятие отметило 15-летие со дня образования и ознаменовало его достижением  5-тонного уровня производства золота</w:t>
      </w:r>
      <w:r w:rsidR="00CA5FD2">
        <w:t>. К</w:t>
      </w:r>
      <w:r>
        <w:t>ажды</w:t>
      </w:r>
      <w:r w:rsidR="00CA5FD2">
        <w:t>й</w:t>
      </w:r>
      <w:r>
        <w:t xml:space="preserve"> четверты</w:t>
      </w:r>
      <w:r w:rsidR="00CA5FD2">
        <w:t>й</w:t>
      </w:r>
      <w:r>
        <w:t xml:space="preserve">  килограмм</w:t>
      </w:r>
      <w:r w:rsidR="00CA5FD2">
        <w:t xml:space="preserve"> по территории района добыт работниками ОАО «Высочайший».</w:t>
      </w:r>
      <w:r>
        <w:t xml:space="preserve"> </w:t>
      </w:r>
      <w:r w:rsidR="00CA5FD2">
        <w:t>Предприятие п</w:t>
      </w:r>
      <w:r>
        <w:t>риступил</w:t>
      </w:r>
      <w:r w:rsidR="00CA5FD2">
        <w:t>о</w:t>
      </w:r>
      <w:r>
        <w:t xml:space="preserve"> к промышленному освоению </w:t>
      </w:r>
      <w:r w:rsidR="00860E5B">
        <w:t>Верхне-Угаханского месторождения</w:t>
      </w:r>
      <w:r>
        <w:t>,</w:t>
      </w:r>
      <w:r w:rsidR="00860E5B">
        <w:t xml:space="preserve"> его освоение будет осуществляться без строительства новых мощностей и предусматривает транспортировку на имеющийся ГОК добытой руды  и </w:t>
      </w:r>
      <w:r>
        <w:t xml:space="preserve"> сохран</w:t>
      </w:r>
      <w:r w:rsidR="00860E5B">
        <w:t>ение</w:t>
      </w:r>
      <w:r>
        <w:t xml:space="preserve"> достигнут</w:t>
      </w:r>
      <w:r w:rsidR="00860E5B">
        <w:t>ого</w:t>
      </w:r>
      <w:r>
        <w:t xml:space="preserve"> уровен</w:t>
      </w:r>
      <w:r w:rsidR="00860E5B">
        <w:t>я</w:t>
      </w:r>
      <w:r>
        <w:t xml:space="preserve"> производства золота. </w:t>
      </w:r>
    </w:p>
    <w:p w:rsidR="00C061C7" w:rsidRDefault="00C061C7" w:rsidP="00C061C7">
      <w:pPr>
        <w:ind w:firstLine="705"/>
        <w:jc w:val="both"/>
      </w:pPr>
      <w:r>
        <w:t>Огромный  вклад в объемы добычи золота внесли</w:t>
      </w:r>
      <w:r w:rsidRPr="00515289">
        <w:t xml:space="preserve"> ООО «Друза», ЗАО «А</w:t>
      </w:r>
      <w:r w:rsidR="00CA5FD2">
        <w:t>/С</w:t>
      </w:r>
      <w:r w:rsidRPr="00515289">
        <w:t xml:space="preserve"> «Витим», ООО «Грейн Стар», ООО «А</w:t>
      </w:r>
      <w:r w:rsidR="00CA5FD2">
        <w:t>/</w:t>
      </w:r>
      <w:r w:rsidRPr="00515289">
        <w:t>С «Сибирь», ЗАО ГПП «Реткон», ООО «Угахан», ООО «Шаповаловский», ООО «Даксиб», ООО «А</w:t>
      </w:r>
      <w:r w:rsidR="00CA5FD2">
        <w:t>/</w:t>
      </w:r>
      <w:r w:rsidRPr="00515289">
        <w:t>С «Иркутская».</w:t>
      </w:r>
    </w:p>
    <w:p w:rsidR="00C061C7" w:rsidRPr="008A787D" w:rsidRDefault="00C061C7" w:rsidP="00C061C7">
      <w:pPr>
        <w:ind w:firstLine="705"/>
        <w:jc w:val="both"/>
      </w:pPr>
      <w:r>
        <w:t>Общий индекс  промышленного производства по итогам 2013 года составил 108,6%, в том числе по добыче полезных ископаемых – 110,1%.</w:t>
      </w:r>
    </w:p>
    <w:p w:rsidR="00C061C7" w:rsidRDefault="00C061C7" w:rsidP="00C061C7">
      <w:pPr>
        <w:ind w:firstLine="705"/>
        <w:jc w:val="both"/>
      </w:pPr>
      <w:r w:rsidRPr="008A787D">
        <w:t>За 2013 г</w:t>
      </w:r>
      <w:r>
        <w:t>од</w:t>
      </w:r>
      <w:r w:rsidRPr="008A787D">
        <w:t xml:space="preserve"> сумма выручки от реализации продукции, работ и услуг от золотодобычи </w:t>
      </w:r>
      <w:r>
        <w:t xml:space="preserve">по оценке Иркутскстат </w:t>
      </w:r>
      <w:r w:rsidRPr="008A787D">
        <w:t>составила 30 734,1 млн. руб. или 95,8 % к аналогичному показателю 2012 г</w:t>
      </w:r>
      <w:r>
        <w:t>ода, что</w:t>
      </w:r>
      <w:r w:rsidRPr="008A787D">
        <w:t xml:space="preserve"> объясняется снижением цены за грамм </w:t>
      </w:r>
      <w:r w:rsidR="00CA5FD2">
        <w:t>золота</w:t>
      </w:r>
      <w:r w:rsidR="00C62452">
        <w:t xml:space="preserve"> </w:t>
      </w:r>
      <w:r w:rsidRPr="008A787D">
        <w:t>в 2013 г</w:t>
      </w:r>
      <w:r>
        <w:t>оду</w:t>
      </w:r>
      <w:r w:rsidRPr="008A787D">
        <w:t xml:space="preserve">. </w:t>
      </w:r>
    </w:p>
    <w:p w:rsidR="00C061C7" w:rsidRDefault="00C061C7" w:rsidP="00C061C7">
      <w:pPr>
        <w:ind w:firstLine="705"/>
        <w:jc w:val="both"/>
      </w:pPr>
      <w:r w:rsidRPr="008A787D">
        <w:t>Несмотря на снижение доходности из-за падения мировых цен на золото, предприятия не корректируют свои инвестиционные планы: выполняются масштабные геологоразведочные рабоы, ведется модернизация основных обог</w:t>
      </w:r>
      <w:r>
        <w:t>а</w:t>
      </w:r>
      <w:r w:rsidRPr="008A787D">
        <w:t>тительных мощностей.</w:t>
      </w:r>
      <w:r>
        <w:t xml:space="preserve"> </w:t>
      </w:r>
      <w:r w:rsidRPr="008A787D">
        <w:t>Доля выручки от добычи драгметалла в общем объеме составляет 90,1% (2012 г</w:t>
      </w:r>
      <w:r>
        <w:t>од</w:t>
      </w:r>
      <w:r w:rsidRPr="008A787D">
        <w:t xml:space="preserve"> - 89,7%).  </w:t>
      </w:r>
    </w:p>
    <w:p w:rsidR="00C061C7" w:rsidRPr="008A787D" w:rsidRDefault="00C061C7" w:rsidP="00C061C7">
      <w:pPr>
        <w:ind w:firstLine="708"/>
        <w:jc w:val="both"/>
      </w:pPr>
      <w:r w:rsidRPr="008A787D">
        <w:t xml:space="preserve">В целом выручка от реализации (работ, услуг) на душу населения в </w:t>
      </w:r>
      <w:r>
        <w:t>Бодайбинском</w:t>
      </w:r>
      <w:r w:rsidRPr="008A787D">
        <w:t xml:space="preserve"> состави</w:t>
      </w:r>
      <w:r>
        <w:t>ла</w:t>
      </w:r>
      <w:r w:rsidRPr="008A787D">
        <w:t xml:space="preserve"> 1 6</w:t>
      </w:r>
      <w:r>
        <w:t>51</w:t>
      </w:r>
      <w:r w:rsidRPr="008A787D">
        <w:t xml:space="preserve"> тыс. руб. или 99,</w:t>
      </w:r>
      <w:r>
        <w:t>2</w:t>
      </w:r>
      <w:r w:rsidRPr="008A787D">
        <w:t>% к показателю 2012 г</w:t>
      </w:r>
      <w:r>
        <w:t>ода (1665 тыс. руб.).</w:t>
      </w:r>
      <w:r w:rsidRPr="008A787D">
        <w:t xml:space="preserve"> </w:t>
      </w:r>
    </w:p>
    <w:p w:rsidR="00C061C7" w:rsidRDefault="00C061C7" w:rsidP="00C061C7">
      <w:pPr>
        <w:ind w:firstLine="708"/>
        <w:jc w:val="both"/>
      </w:pPr>
      <w:r>
        <w:t xml:space="preserve">План по </w:t>
      </w:r>
      <w:r w:rsidRPr="008A787D">
        <w:t>налог</w:t>
      </w:r>
      <w:r>
        <w:t>ам</w:t>
      </w:r>
      <w:r w:rsidRPr="008A787D">
        <w:t xml:space="preserve"> и сбор</w:t>
      </w:r>
      <w:r>
        <w:t>ам</w:t>
      </w:r>
      <w:r w:rsidRPr="008A787D">
        <w:t xml:space="preserve"> в бюджет МО г. Бодайбо и района </w:t>
      </w:r>
      <w:r>
        <w:t xml:space="preserve">выполнен на 99,3%: </w:t>
      </w:r>
      <w:r w:rsidRPr="008A787D">
        <w:t xml:space="preserve">при плане 660,0 млн. руб. </w:t>
      </w:r>
      <w:r>
        <w:t xml:space="preserve">поступило 655,3 млн. руб. Фактическое поступление налогов и сборов по сравнению с показателем 2012 года </w:t>
      </w:r>
      <w:r w:rsidR="00BD5897">
        <w:t>-</w:t>
      </w:r>
      <w:r>
        <w:t xml:space="preserve"> 104,7%.</w:t>
      </w:r>
    </w:p>
    <w:p w:rsidR="00C061C7" w:rsidRDefault="00C061C7" w:rsidP="00C061C7">
      <w:pPr>
        <w:ind w:firstLine="708"/>
        <w:jc w:val="both"/>
      </w:pPr>
      <w:r w:rsidRPr="008A787D">
        <w:t xml:space="preserve">Обеспеченность собственными доходами </w:t>
      </w:r>
      <w:r w:rsidR="00BD5897">
        <w:t xml:space="preserve"> </w:t>
      </w:r>
      <w:r w:rsidRPr="008A787D">
        <w:t>бюджета на душу населения составила 3</w:t>
      </w:r>
      <w:r>
        <w:t>0,8</w:t>
      </w:r>
      <w:r w:rsidRPr="008A787D">
        <w:t xml:space="preserve"> тыс. руб. и увеличилась по сравнению с аналогичным периодом 2012 г</w:t>
      </w:r>
      <w:r>
        <w:t>ода</w:t>
      </w:r>
      <w:r w:rsidRPr="008A787D">
        <w:t xml:space="preserve"> на </w:t>
      </w:r>
      <w:r>
        <w:t>6,2</w:t>
      </w:r>
      <w:r w:rsidRPr="008A787D">
        <w:t>%.</w:t>
      </w:r>
    </w:p>
    <w:p w:rsidR="00C061C7" w:rsidRPr="00F85880" w:rsidRDefault="00C061C7" w:rsidP="00C061C7">
      <w:pPr>
        <w:ind w:firstLine="708"/>
        <w:jc w:val="both"/>
        <w:rPr>
          <w:u w:val="single"/>
        </w:rPr>
      </w:pPr>
      <w:r w:rsidRPr="00F85880">
        <w:rPr>
          <w:u w:val="single"/>
        </w:rPr>
        <w:t>Деятельность сервисных организаций.</w:t>
      </w:r>
    </w:p>
    <w:p w:rsidR="00C061C7" w:rsidRPr="00F85880" w:rsidRDefault="00C061C7" w:rsidP="00C061C7">
      <w:pPr>
        <w:ind w:firstLine="708"/>
        <w:jc w:val="both"/>
      </w:pPr>
      <w:r>
        <w:lastRenderedPageBreak/>
        <w:t xml:space="preserve">Деятельность </w:t>
      </w:r>
      <w:r w:rsidRPr="00F85880">
        <w:t xml:space="preserve">в области </w:t>
      </w:r>
      <w:r w:rsidRPr="00C00B4E">
        <w:rPr>
          <w:i/>
        </w:rPr>
        <w:t>металлургического производст</w:t>
      </w:r>
      <w:r w:rsidRPr="00F85880">
        <w:t xml:space="preserve">в </w:t>
      </w:r>
      <w:r>
        <w:t xml:space="preserve">на территории района осуществляет </w:t>
      </w:r>
      <w:r w:rsidRPr="00F85880">
        <w:t>ООО «ЛенРЭМ» - стабильно</w:t>
      </w:r>
      <w:r>
        <w:t xml:space="preserve"> работающее предприятие, обеспечивающее</w:t>
      </w:r>
      <w:r w:rsidRPr="00F85880">
        <w:t xml:space="preserve"> готовыми металлическими изделиями из электростали, стали в/маргацовистой, лития чугунного, стального, цветного и пр. золотодобывающи</w:t>
      </w:r>
      <w:r>
        <w:t>е</w:t>
      </w:r>
      <w:r w:rsidRPr="00F85880">
        <w:t xml:space="preserve"> предприяти</w:t>
      </w:r>
      <w:r>
        <w:t>я</w:t>
      </w:r>
      <w:r w:rsidRPr="00F85880">
        <w:t xml:space="preserve"> </w:t>
      </w:r>
      <w:r>
        <w:t>района по заявкам.</w:t>
      </w:r>
    </w:p>
    <w:p w:rsidR="00C061C7" w:rsidRPr="00F85880" w:rsidRDefault="00C061C7" w:rsidP="00C061C7">
      <w:pPr>
        <w:ind w:firstLine="708"/>
        <w:jc w:val="both"/>
      </w:pPr>
      <w:r w:rsidRPr="00C00B4E">
        <w:rPr>
          <w:i/>
        </w:rPr>
        <w:t>Электроэнергией</w:t>
      </w:r>
      <w:r>
        <w:t xml:space="preserve"> </w:t>
      </w:r>
      <w:r w:rsidRPr="00F85880">
        <w:t xml:space="preserve">предприятия и социальную сферу </w:t>
      </w:r>
      <w:r>
        <w:t>района обеспечивает</w:t>
      </w:r>
      <w:r w:rsidRPr="00F85880">
        <w:t xml:space="preserve"> ЗАО «Витимэнерго»</w:t>
      </w:r>
      <w:r>
        <w:t xml:space="preserve">. </w:t>
      </w:r>
      <w:r w:rsidRPr="00F85880">
        <w:t>Электроэнергия для потребителей, находящихся на территории района, поставляется с двух крупных энергоисточников - Мамаканской ГЭС с установленной мощностью 86 МВт, которая принадлежит ЗАО «Витимэнерго», и Иркутской энергосистемы.</w:t>
      </w:r>
    </w:p>
    <w:p w:rsidR="00BD5897" w:rsidRDefault="00C061C7" w:rsidP="00C061C7">
      <w:pPr>
        <w:ind w:firstLine="708"/>
        <w:jc w:val="both"/>
      </w:pPr>
      <w:r w:rsidRPr="00F85880">
        <w:t xml:space="preserve">Несмотря на имеющиеся успехи предприятий по добыче золота, главной проблемой увеличения добычи драгметалла </w:t>
      </w:r>
      <w:r w:rsidR="00BD5897">
        <w:t>и стабильной работы предприятий остается нехватка электроэнергии. Нехватка электроэнергии связана с увеличением количества и мощности золотодобывающих  предприятий, в том числе с круглогодичной разработкой месторождений рудного золота.</w:t>
      </w:r>
    </w:p>
    <w:p w:rsidR="00C061C7" w:rsidRDefault="00C061C7" w:rsidP="00C061C7">
      <w:pPr>
        <w:ind w:firstLine="708"/>
        <w:jc w:val="both"/>
      </w:pPr>
      <w:r w:rsidRPr="00F85880">
        <w:t>Ожидается, что разработанная Правительством Иркутской области программа развития электроэнергетики на период с 2014 по 2018 годы позволит ликвидировать эне</w:t>
      </w:r>
      <w:r>
        <w:t>р</w:t>
      </w:r>
      <w:r w:rsidRPr="00F85880">
        <w:t>годефицит.</w:t>
      </w:r>
    </w:p>
    <w:p w:rsidR="00C061C7" w:rsidRDefault="00C061C7" w:rsidP="00C061C7">
      <w:pPr>
        <w:ind w:firstLine="705"/>
        <w:jc w:val="both"/>
      </w:pPr>
      <w:r>
        <w:t xml:space="preserve">Предоставлением услуг по </w:t>
      </w:r>
      <w:r w:rsidRPr="00C00B4E">
        <w:rPr>
          <w:i/>
        </w:rPr>
        <w:t>тепло-, водоснабжению, водоотведения</w:t>
      </w:r>
      <w:r>
        <w:t xml:space="preserve"> для населения района занимаются МУП «Тепловодоканал»</w:t>
      </w:r>
      <w:r w:rsidR="00BD5897">
        <w:t>, ООО «Тепловодоресурс»</w:t>
      </w:r>
      <w:r>
        <w:t xml:space="preserve"> и  предприятия жилищно-коммунального хозяйства поселений района.  Тепловую энергию в районе вырабатывают 26 котельных, в том числе 22 муниципальных и </w:t>
      </w:r>
      <w:r w:rsidR="00BD5897">
        <w:t>4</w:t>
      </w:r>
      <w:r>
        <w:t xml:space="preserve"> ведомственных, отапливающие муниципальный жилой фонд и объекты социальной сферы. </w:t>
      </w:r>
    </w:p>
    <w:p w:rsidR="00C061C7" w:rsidRDefault="00C061C7" w:rsidP="00C061C7">
      <w:pPr>
        <w:pStyle w:val="a5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навигацию 2013 года в район завезено:</w:t>
      </w:r>
    </w:p>
    <w:p w:rsidR="00C061C7" w:rsidRDefault="00C061C7" w:rsidP="00C061C7">
      <w:pPr>
        <w:pStyle w:val="a5"/>
        <w:spacing w:before="0" w:after="0"/>
        <w:ind w:firstLine="708"/>
        <w:jc w:val="both"/>
        <w:rPr>
          <w:rFonts w:ascii="Times New Roman" w:hAnsi="Times New Roman"/>
        </w:rPr>
      </w:pPr>
    </w:p>
    <w:tbl>
      <w:tblPr>
        <w:tblStyle w:val="af7"/>
        <w:tblW w:w="0" w:type="auto"/>
        <w:tblInd w:w="108" w:type="dxa"/>
        <w:tblLook w:val="01E0"/>
      </w:tblPr>
      <w:tblGrid>
        <w:gridCol w:w="1809"/>
        <w:gridCol w:w="1929"/>
        <w:gridCol w:w="1897"/>
        <w:gridCol w:w="1913"/>
        <w:gridCol w:w="1915"/>
      </w:tblGrid>
      <w:tr w:rsidR="00C061C7" w:rsidTr="00C06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топлива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7" w:rsidRDefault="00C061C7" w:rsidP="00C061C7">
            <w:pPr>
              <w:pStyle w:val="a5"/>
              <w:spacing w:after="0"/>
              <w:ind w:hanging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Потребность, тн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7" w:rsidRDefault="00C061C7" w:rsidP="00C061C7">
            <w:pPr>
              <w:pStyle w:val="a5"/>
              <w:spacing w:after="0"/>
              <w:ind w:hanging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Цена контрактов, млн. руб.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7" w:rsidRDefault="00C061C7" w:rsidP="00C061C7">
            <w:pPr>
              <w:pStyle w:val="a5"/>
              <w:spacing w:after="0"/>
              <w:ind w:hanging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поступление, тн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C7" w:rsidRDefault="00C061C7" w:rsidP="00C061C7">
            <w:pPr>
              <w:pStyle w:val="a5"/>
              <w:spacing w:after="0"/>
              <w:ind w:hanging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завоза, %</w:t>
            </w:r>
          </w:p>
        </w:tc>
      </w:tr>
      <w:tr w:rsidR="00C061C7" w:rsidTr="00C06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Уголь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83 222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81 974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hanging="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</w:tr>
      <w:tr w:rsidR="00C061C7" w:rsidTr="00C061C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hanging="4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1C7" w:rsidTr="00C061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7 712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7 712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Default="00C061C7" w:rsidP="00C061C7">
            <w:pPr>
              <w:pStyle w:val="a5"/>
              <w:spacing w:after="0"/>
              <w:ind w:hanging="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C061C7" w:rsidRPr="00BD5897" w:rsidRDefault="00C061C7" w:rsidP="00C061C7">
      <w:pPr>
        <w:ind w:firstLine="705"/>
        <w:jc w:val="both"/>
      </w:pPr>
    </w:p>
    <w:p w:rsidR="00C061C7" w:rsidRPr="00BD5897" w:rsidRDefault="00C061C7" w:rsidP="00C061C7">
      <w:pPr>
        <w:ind w:firstLine="708"/>
        <w:jc w:val="both"/>
      </w:pPr>
      <w:r w:rsidRPr="00BD5897">
        <w:t>В Бодайбо на протяжении многих лет остро стояла проблема с чистой питьевой водой. В 2013 году в рамках реализации долгосрочной целевой программы Иркутской области «Чистая вода» администрацией Бодайбинского муниципального образования выполнены мероприятия по строительству и сдаче в эксплуатацию станции водоподготовки в г. Бодайбо. Станция водоподготовки в г. Бодайбо рассчитана на очистку 720 кубов воды в час. Финансирование на приобретение и строительства станции за два года составило более 114 млн. руб. Эти средства выделялись местным</w:t>
      </w:r>
      <w:r w:rsidR="00BD5897">
        <w:t>и</w:t>
      </w:r>
      <w:r w:rsidRPr="00BD5897">
        <w:t xml:space="preserve">, областным и федеральным бюджетами, а также использованы средства в сумме 22 млн. руб., выделенные в рамках социально-экономического партнерства предприятиями района. На сегодняшний день станция прошла все испытания, согласована со всеми надзорными органами, и уже весной 2014 года бодайбинцы в полной мере смогут ощутить, как изменилось качество воды. </w:t>
      </w:r>
    </w:p>
    <w:p w:rsidR="00C061C7" w:rsidRPr="00BD5897" w:rsidRDefault="00C061C7" w:rsidP="00C061C7">
      <w:pPr>
        <w:ind w:firstLine="720"/>
        <w:jc w:val="both"/>
        <w:rPr>
          <w:bCs/>
        </w:rPr>
      </w:pPr>
      <w:r w:rsidRPr="00BD5897">
        <w:rPr>
          <w:bCs/>
          <w:i/>
        </w:rPr>
        <w:t xml:space="preserve">Производство пищевых продуктов </w:t>
      </w:r>
      <w:r w:rsidRPr="00BD5897">
        <w:rPr>
          <w:bCs/>
        </w:rPr>
        <w:t>осуществляют предприятия: МУП «Мясной двор» (колбасные изделия, полуфабрикаты мясные) и ОАО «Пищевик» (цельномолочная продукция, хлеб и хлебобулочные изделия). Темпы роста объемов производства обеспечиваются за счет выпуска мясной продукции,  традиционно пользующейся спросом у населения г. Бодайбо и района. Предприятия работают стабильно.</w:t>
      </w:r>
    </w:p>
    <w:p w:rsidR="00C061C7" w:rsidRPr="00BD5897" w:rsidRDefault="00C061C7" w:rsidP="00C061C7">
      <w:pPr>
        <w:tabs>
          <w:tab w:val="num" w:pos="0"/>
        </w:tabs>
        <w:ind w:firstLine="720"/>
        <w:jc w:val="both"/>
      </w:pPr>
      <w:r w:rsidRPr="00BD5897">
        <w:rPr>
          <w:i/>
        </w:rPr>
        <w:t>Сельское хозяйство</w:t>
      </w:r>
      <w:r w:rsidRPr="00BD5897">
        <w:t>. Бодайбинский район не является территорией производ</w:t>
      </w:r>
      <w:r w:rsidR="00E933DA">
        <w:t>ящей</w:t>
      </w:r>
      <w:r w:rsidRPr="00BD5897">
        <w:t xml:space="preserve"> сельскохозяйственн</w:t>
      </w:r>
      <w:r w:rsidR="00E933DA">
        <w:t>ую</w:t>
      </w:r>
      <w:r w:rsidRPr="00BD5897">
        <w:t xml:space="preserve"> продукци</w:t>
      </w:r>
      <w:r w:rsidR="00E933DA">
        <w:t>ю</w:t>
      </w:r>
      <w:r w:rsidRPr="00BD5897">
        <w:t>.</w:t>
      </w:r>
      <w:r w:rsidR="00E933DA">
        <w:t xml:space="preserve"> В</w:t>
      </w:r>
      <w:r w:rsidRPr="00BD5897">
        <w:t xml:space="preserve"> 2013 году фактическую деятельность осуществляли 5 крестьянских (фермерских) хозяйств (в пос.Мамакан, </w:t>
      </w:r>
      <w:r w:rsidR="00E933DA">
        <w:t xml:space="preserve">м-не </w:t>
      </w:r>
      <w:r w:rsidRPr="00BD5897">
        <w:t>Колобовщина) по производству продукции овощеводства, животноводства и молока</w:t>
      </w:r>
      <w:r w:rsidR="00E933DA">
        <w:t>.</w:t>
      </w:r>
      <w:r w:rsidRPr="00BD5897">
        <w:t xml:space="preserve"> </w:t>
      </w:r>
    </w:p>
    <w:p w:rsidR="00C061C7" w:rsidRPr="00BD5897" w:rsidRDefault="00C061C7" w:rsidP="00C061C7">
      <w:pPr>
        <w:ind w:firstLine="708"/>
        <w:jc w:val="both"/>
      </w:pPr>
      <w:r w:rsidRPr="00BD5897">
        <w:t xml:space="preserve">Проблема всех крестьянских (фермерских) хозяйств – недостаток собственных денежных средств на расширение производства для </w:t>
      </w:r>
      <w:r w:rsidR="00E933DA">
        <w:t xml:space="preserve">производства и </w:t>
      </w:r>
      <w:r w:rsidRPr="00BD5897">
        <w:t>реализации полученной продукции</w:t>
      </w:r>
      <w:r w:rsidR="00E933DA">
        <w:t>.</w:t>
      </w:r>
      <w:r w:rsidRPr="00BD5897">
        <w:t xml:space="preserve"> В этом направлении администрация работает с Министерством сельского </w:t>
      </w:r>
      <w:r w:rsidRPr="00BD5897">
        <w:lastRenderedPageBreak/>
        <w:t>хозяйства Иркутской области. Добились включения в Реестр сельскохозяйственных товаропроизводителей</w:t>
      </w:r>
      <w:r w:rsidR="00E933DA">
        <w:t xml:space="preserve"> главы крестьянских (фермерских) хозяйств Зайнулина С.Г. и Бочарова А.А.</w:t>
      </w:r>
      <w:r w:rsidRPr="00BD5897">
        <w:t>, направлены ходатайства и производственные планы глав крестьянских (фермерских) хозяйств для оказания им финансовой помощи, без которой  хозяйствам не</w:t>
      </w:r>
      <w:r w:rsidR="00E933DA">
        <w:t>т возможности развиваться.</w:t>
      </w:r>
    </w:p>
    <w:p w:rsidR="00C061C7" w:rsidRDefault="00C061C7" w:rsidP="00C061C7">
      <w:pPr>
        <w:ind w:firstLine="708"/>
        <w:jc w:val="both"/>
      </w:pPr>
      <w:r>
        <w:t>Личным подсобным хозяйством занимаются порядка 150 хозяйств, которые содержат крупный рогатый скот, свиней, птицу</w:t>
      </w:r>
      <w:r w:rsidR="00E933DA">
        <w:t xml:space="preserve"> и</w:t>
      </w:r>
      <w:r>
        <w:t xml:space="preserve"> обеспеч</w:t>
      </w:r>
      <w:r w:rsidR="00E933DA">
        <w:t>ивают</w:t>
      </w:r>
      <w:r>
        <w:t xml:space="preserve"> себя сельскохозяйственной продукцией. </w:t>
      </w:r>
    </w:p>
    <w:p w:rsidR="00C061C7" w:rsidRDefault="00C061C7" w:rsidP="00C061C7">
      <w:pPr>
        <w:tabs>
          <w:tab w:val="num" w:pos="0"/>
        </w:tabs>
        <w:jc w:val="both"/>
      </w:pPr>
      <w:r>
        <w:tab/>
      </w:r>
      <w:r w:rsidRPr="00C00B4E">
        <w:rPr>
          <w:i/>
        </w:rPr>
        <w:t xml:space="preserve">Строительство. </w:t>
      </w:r>
      <w:r>
        <w:t>Более 30 лет в г. Бодайбо и районе не ведется массовое строительство муниципального жилья. Вследствие этого увеличился объем площадей ветхого и аварийного жилищного фонда до 65%.</w:t>
      </w:r>
    </w:p>
    <w:p w:rsidR="00C061C7" w:rsidRPr="00C03421" w:rsidRDefault="00C061C7" w:rsidP="00C061C7">
      <w:pPr>
        <w:jc w:val="both"/>
      </w:pPr>
      <w:r>
        <w:tab/>
      </w:r>
      <w:r w:rsidRPr="00C03421">
        <w:t xml:space="preserve">В 2013 году начато строительство 16-ти кв. жилого дома для работников </w:t>
      </w:r>
      <w:r>
        <w:t xml:space="preserve">муниципальных </w:t>
      </w:r>
      <w:r w:rsidRPr="00C03421">
        <w:t xml:space="preserve">учреждений г. Бодайбо и района в целях закрепления </w:t>
      </w:r>
      <w:r>
        <w:t xml:space="preserve">педагогов, работников культуры и здравоохранения </w:t>
      </w:r>
      <w:r w:rsidRPr="00C03421">
        <w:t xml:space="preserve">в районе и привлечения молодых специалистов. В </w:t>
      </w:r>
      <w:r>
        <w:t xml:space="preserve">2013 году </w:t>
      </w:r>
      <w:r w:rsidRPr="00C03421">
        <w:t>проведены строительно-монтажные работы по подготовке территории к строительству, устройству фундамента и возведения первого этажа здания.</w:t>
      </w:r>
      <w:r>
        <w:t xml:space="preserve"> Строительство продолжится в 2014 году, сдача жилого дома в эксплуатацию планируется в 2015 году.</w:t>
      </w:r>
    </w:p>
    <w:p w:rsidR="00C061C7" w:rsidRPr="00C03421" w:rsidRDefault="00C061C7" w:rsidP="00C061C7">
      <w:pPr>
        <w:jc w:val="both"/>
      </w:pPr>
      <w:r>
        <w:tab/>
        <w:t>В 2013 году введено в действие 861,4 кв.м жилого фонда в г. Бодайбо за счет индивидуальных застройщиков.</w:t>
      </w:r>
    </w:p>
    <w:p w:rsidR="00C061C7" w:rsidRPr="00F85880" w:rsidRDefault="00C061C7" w:rsidP="00C061C7">
      <w:pPr>
        <w:jc w:val="both"/>
        <w:rPr>
          <w:b/>
          <w:i/>
        </w:rPr>
      </w:pPr>
      <w:r w:rsidRPr="00F85880">
        <w:tab/>
      </w:r>
      <w:r w:rsidRPr="00F85880">
        <w:rPr>
          <w:b/>
          <w:i/>
        </w:rPr>
        <w:t>Потребительный рынок.</w:t>
      </w:r>
    </w:p>
    <w:p w:rsidR="00C061C7" w:rsidRPr="00F85880" w:rsidRDefault="00C061C7" w:rsidP="00C061C7">
      <w:pPr>
        <w:ind w:firstLine="708"/>
        <w:jc w:val="both"/>
      </w:pPr>
      <w:r w:rsidRPr="00F85880">
        <w:t>Выручка от реализации продукции, работ, услуг оптовой и розничной торговли, общественного питания, бытовых услуг составила 1</w:t>
      </w:r>
      <w:r>
        <w:t>645,1</w:t>
      </w:r>
      <w:r w:rsidRPr="00F85880">
        <w:t xml:space="preserve"> млн. руб. и увеличилась по сравнению с соответствующим периодом 2012 г</w:t>
      </w:r>
      <w:r>
        <w:t>ода</w:t>
      </w:r>
      <w:r w:rsidRPr="00F85880">
        <w:t xml:space="preserve"> на 11,</w:t>
      </w:r>
      <w:r>
        <w:t>2</w:t>
      </w:r>
      <w:r w:rsidRPr="00F85880">
        <w:t>%. Анализ работы предприятий торговли, общественного питания и бытовых услуг показывает, что увеличение объема выручки происходит за счет роста цен на товары и продукцию, а не за счет роста покупатель</w:t>
      </w:r>
      <w:r w:rsidR="00E933DA">
        <w:t>н</w:t>
      </w:r>
      <w:r w:rsidRPr="00F85880">
        <w:t xml:space="preserve">ой способности населения, кроме того, население района ежегодно уменьшается на 600-700 человек. </w:t>
      </w:r>
    </w:p>
    <w:p w:rsidR="00C061C7" w:rsidRPr="00F85880" w:rsidRDefault="00C061C7" w:rsidP="00C061C7">
      <w:pPr>
        <w:jc w:val="both"/>
      </w:pPr>
      <w:r w:rsidRPr="00F85880">
        <w:tab/>
        <w:t>О повышении уровня и качества предоставления бытовых услуг свидетельствует увеличение количества объектов, их предоставляющих: ежегодно увеличивается количество  парикмахерских, мастерских по пошиву и ремонту одежды, бытовой техники, ремонту и обслуживанию автомобилей,  юридических фирм.</w:t>
      </w:r>
    </w:p>
    <w:p w:rsidR="00C061C7" w:rsidRPr="00F85880" w:rsidRDefault="00C061C7" w:rsidP="00C061C7">
      <w:pPr>
        <w:jc w:val="both"/>
        <w:rPr>
          <w:b/>
          <w:i/>
        </w:rPr>
      </w:pPr>
      <w:r w:rsidRPr="00F85880">
        <w:tab/>
      </w:r>
      <w:r w:rsidRPr="00F85880">
        <w:rPr>
          <w:b/>
          <w:i/>
        </w:rPr>
        <w:t>Малый и средний бизнес.</w:t>
      </w:r>
    </w:p>
    <w:p w:rsidR="00C061C7" w:rsidRPr="00F85880" w:rsidRDefault="00C061C7" w:rsidP="00C061C7">
      <w:pPr>
        <w:tabs>
          <w:tab w:val="left" w:pos="1134"/>
        </w:tabs>
        <w:ind w:firstLine="708"/>
        <w:jc w:val="both"/>
      </w:pPr>
      <w:r w:rsidRPr="00F85880">
        <w:t xml:space="preserve">Малый и средний бизнес муниципального образования г. Бодайбо и района является многоотраслевым, в котором осуществляют деятельность </w:t>
      </w:r>
      <w:r>
        <w:t xml:space="preserve">около </w:t>
      </w:r>
      <w:r w:rsidRPr="00F85880">
        <w:t>2</w:t>
      </w:r>
      <w:r>
        <w:t>,0 тыс.</w:t>
      </w:r>
      <w:r w:rsidRPr="00F85880">
        <w:t xml:space="preserve"> чел. во всех сферах экономики района. По структуре занятости населения – </w:t>
      </w:r>
      <w:r>
        <w:t>13,9</w:t>
      </w:r>
      <w:r w:rsidRPr="00F85880">
        <w:t>% от занятых в экономике района трудятся в малом и среднем бизнесе (всего в экономике района занято 14 304 чел.).</w:t>
      </w:r>
    </w:p>
    <w:p w:rsidR="00C061C7" w:rsidRPr="00F85880" w:rsidRDefault="00C061C7" w:rsidP="00C061C7">
      <w:pPr>
        <w:ind w:firstLine="708"/>
        <w:jc w:val="both"/>
      </w:pPr>
      <w:r w:rsidRPr="00F85880">
        <w:t>По состоянию на 01.01.201</w:t>
      </w:r>
      <w:r>
        <w:t>4</w:t>
      </w:r>
      <w:r w:rsidRPr="00F85880">
        <w:t xml:space="preserve"> г. на территории Бодайбинского района на учете состоит 21</w:t>
      </w:r>
      <w:r>
        <w:t>4</w:t>
      </w:r>
      <w:r w:rsidRPr="00F85880">
        <w:t xml:space="preserve"> индивидуальных предпринимателей, имеющих наемных работников</w:t>
      </w:r>
      <w:r>
        <w:t xml:space="preserve"> (в 2012 году – 210 чел.)</w:t>
      </w:r>
      <w:r w:rsidRPr="00F85880">
        <w:t>.  Зарегистрировано индивидуальных предпринимателей – физических лиц</w:t>
      </w:r>
      <w:r>
        <w:t>, не производящих выплат и иных вознаграждений физическим лицам</w:t>
      </w:r>
      <w:r w:rsidRPr="00F85880">
        <w:t xml:space="preserve"> – </w:t>
      </w:r>
      <w:r>
        <w:t xml:space="preserve">697 чел (в 2012 году - </w:t>
      </w:r>
      <w:r w:rsidRPr="00F85880">
        <w:t>896 чел.</w:t>
      </w:r>
      <w:r>
        <w:t>).</w:t>
      </w:r>
    </w:p>
    <w:p w:rsidR="00C061C7" w:rsidRPr="00F85880" w:rsidRDefault="00C061C7" w:rsidP="00C061C7">
      <w:pPr>
        <w:ind w:firstLine="708"/>
        <w:jc w:val="both"/>
      </w:pPr>
      <w:r w:rsidRPr="00F85880">
        <w:t xml:space="preserve">В расчете на 1000 жителей Бодайбинского района приходится  </w:t>
      </w:r>
      <w:r>
        <w:t>10,1</w:t>
      </w:r>
      <w:r w:rsidRPr="00F85880">
        <w:t xml:space="preserve"> малых и средних предприятий. Этот показатель  ежегодно уменьшается в связи с оттоком постоянного населения за пределы района (на 01.01.2012 г. тот показатель составлял 10,4 и на 01.01.2011 г. - 11,4). </w:t>
      </w:r>
    </w:p>
    <w:p w:rsidR="00C061C7" w:rsidRPr="00F85880" w:rsidRDefault="00C061C7" w:rsidP="00C061C7">
      <w:pPr>
        <w:ind w:firstLine="700"/>
        <w:jc w:val="both"/>
      </w:pPr>
      <w:r w:rsidRPr="00F85880">
        <w:t xml:space="preserve">Выручка предприятий малого и среднего бизнеса за 2013 год составила порядка </w:t>
      </w:r>
      <w:r>
        <w:t>6 493,0</w:t>
      </w:r>
      <w:r w:rsidRPr="00F85880">
        <w:t xml:space="preserve"> млн. руб. Удельный вес выручки предприятий малого и среднего бизнеса в общем объеме выручки за текущий период 2013 года составил 18,</w:t>
      </w:r>
      <w:r>
        <w:t>5</w:t>
      </w:r>
      <w:r w:rsidRPr="00F85880">
        <w:t>%, что выше показателя 2012 года на 5,5%.</w:t>
      </w:r>
    </w:p>
    <w:p w:rsidR="00C061C7" w:rsidRDefault="00C061C7" w:rsidP="00C061C7">
      <w:pPr>
        <w:ind w:firstLine="708"/>
        <w:jc w:val="both"/>
      </w:pPr>
      <w:r w:rsidRPr="00F85880">
        <w:t xml:space="preserve">С каждым годом расширяется количество услуг, предоставляемых предпринимателями. Увеличивается сеть  бытовых услуг: парикмахерских, косметических и массажных услуг, доставка товаров на дом, риэлтерские услуги, юридические и </w:t>
      </w:r>
      <w:r w:rsidRPr="00F85880">
        <w:lastRenderedPageBreak/>
        <w:t>бухгалтерские услуги и другие. В настоящее время действуют 7</w:t>
      </w:r>
      <w:r>
        <w:t>7</w:t>
      </w:r>
      <w:r w:rsidRPr="00F85880">
        <w:t xml:space="preserve"> предприятий, оказывающие бытовые услуги, с количеством </w:t>
      </w:r>
      <w:bookmarkStart w:id="4" w:name="sub_555"/>
      <w:r>
        <w:t>286 работающих.</w:t>
      </w:r>
    </w:p>
    <w:bookmarkEnd w:id="4"/>
    <w:p w:rsidR="00375A38" w:rsidRPr="003A40C7" w:rsidRDefault="00375A38" w:rsidP="00375A38">
      <w:pPr>
        <w:pStyle w:val="ac"/>
        <w:tabs>
          <w:tab w:val="left" w:pos="1134"/>
        </w:tabs>
        <w:spacing w:before="0" w:after="0"/>
        <w:ind w:firstLine="709"/>
        <w:jc w:val="center"/>
        <w:rPr>
          <w:b/>
        </w:rPr>
      </w:pPr>
      <w:r w:rsidRPr="003A40C7">
        <w:rPr>
          <w:b/>
        </w:rPr>
        <w:t xml:space="preserve">Социальная </w:t>
      </w:r>
      <w:r>
        <w:rPr>
          <w:b/>
        </w:rPr>
        <w:t>сфера района</w:t>
      </w:r>
    </w:p>
    <w:p w:rsidR="00375A38" w:rsidRPr="003A40C7" w:rsidRDefault="00375A38" w:rsidP="00375A38">
      <w:pPr>
        <w:pStyle w:val="ac"/>
        <w:tabs>
          <w:tab w:val="left" w:pos="1134"/>
        </w:tabs>
        <w:spacing w:before="0" w:after="0"/>
        <w:ind w:firstLine="709"/>
        <w:jc w:val="center"/>
        <w:rPr>
          <w:b/>
        </w:rPr>
      </w:pPr>
    </w:p>
    <w:p w:rsidR="00375A38" w:rsidRDefault="00375A38" w:rsidP="00375A38">
      <w:pPr>
        <w:pStyle w:val="ac"/>
        <w:tabs>
          <w:tab w:val="left" w:pos="1134"/>
        </w:tabs>
        <w:spacing w:before="0" w:after="0"/>
        <w:ind w:firstLine="709"/>
        <w:jc w:val="center"/>
        <w:rPr>
          <w:b/>
        </w:rPr>
      </w:pPr>
      <w:r w:rsidRPr="003A40C7">
        <w:rPr>
          <w:b/>
        </w:rPr>
        <w:t>Образование</w:t>
      </w:r>
    </w:p>
    <w:p w:rsidR="00C061C7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</w:p>
    <w:p w:rsidR="00C061C7" w:rsidRPr="005A58C7" w:rsidRDefault="00C061C7" w:rsidP="00C061C7">
      <w:pPr>
        <w:widowControl w:val="0"/>
        <w:autoSpaceDE w:val="0"/>
        <w:autoSpaceDN w:val="0"/>
        <w:adjustRightInd w:val="0"/>
        <w:ind w:firstLine="709"/>
        <w:jc w:val="both"/>
      </w:pPr>
      <w:r w:rsidRPr="005A58C7">
        <w:t>Муниципальная система образования представлена следующими типами и видами учреждений общего, дошкольного и дополнительного образования</w:t>
      </w:r>
      <w:r>
        <w:t>:</w:t>
      </w:r>
    </w:p>
    <w:p w:rsidR="00C061C7" w:rsidRPr="005A58C7" w:rsidRDefault="00C061C7" w:rsidP="00C061C7">
      <w:pPr>
        <w:ind w:firstLine="709"/>
        <w:jc w:val="both"/>
      </w:pPr>
      <w:r>
        <w:t xml:space="preserve">- 11 </w:t>
      </w:r>
      <w:r w:rsidRPr="005A58C7">
        <w:t xml:space="preserve">дошкольных образовательных организаций; </w:t>
      </w:r>
    </w:p>
    <w:p w:rsidR="00C061C7" w:rsidRPr="005A58C7" w:rsidRDefault="00C061C7" w:rsidP="00C061C7">
      <w:pPr>
        <w:widowControl w:val="0"/>
        <w:suppressAutoHyphens/>
        <w:ind w:firstLine="709"/>
        <w:jc w:val="both"/>
      </w:pPr>
      <w:r>
        <w:t>-</w:t>
      </w:r>
      <w:r w:rsidRPr="005A58C7">
        <w:t xml:space="preserve"> 12</w:t>
      </w:r>
      <w:r>
        <w:t xml:space="preserve"> </w:t>
      </w:r>
      <w:r w:rsidRPr="005A58C7">
        <w:t>общеобразовательных организаций</w:t>
      </w:r>
      <w:r>
        <w:t>, из которых:</w:t>
      </w:r>
    </w:p>
    <w:p w:rsidR="00C061C7" w:rsidRPr="005A58C7" w:rsidRDefault="00C061C7" w:rsidP="00C061C7">
      <w:pPr>
        <w:widowControl w:val="0"/>
        <w:suppressAutoHyphens/>
        <w:ind w:firstLine="709"/>
        <w:jc w:val="both"/>
      </w:pPr>
      <w:r w:rsidRPr="005A58C7">
        <w:t>основная общеобразовательная малокомплектная  школа</w:t>
      </w:r>
      <w:r>
        <w:t>;</w:t>
      </w:r>
    </w:p>
    <w:p w:rsidR="00C061C7" w:rsidRPr="005A58C7" w:rsidRDefault="00C061C7" w:rsidP="00C061C7">
      <w:pPr>
        <w:widowControl w:val="0"/>
        <w:suppressAutoHyphens/>
        <w:ind w:firstLine="709"/>
        <w:jc w:val="both"/>
      </w:pPr>
      <w:r>
        <w:t xml:space="preserve">8 </w:t>
      </w:r>
      <w:r w:rsidRPr="005A58C7">
        <w:t>средних общеобразовательных школ;</w:t>
      </w:r>
    </w:p>
    <w:p w:rsidR="00C061C7" w:rsidRPr="005A58C7" w:rsidRDefault="00C061C7" w:rsidP="00C061C7">
      <w:pPr>
        <w:widowControl w:val="0"/>
        <w:suppressAutoHyphens/>
        <w:ind w:firstLine="709"/>
        <w:jc w:val="both"/>
      </w:pPr>
      <w:r>
        <w:t xml:space="preserve">2 </w:t>
      </w:r>
      <w:r w:rsidRPr="005A58C7">
        <w:t>МОУ «начальная школа - детский сад»;</w:t>
      </w:r>
    </w:p>
    <w:p w:rsidR="00C061C7" w:rsidRPr="005A58C7" w:rsidRDefault="00C061C7" w:rsidP="00C061C7">
      <w:pPr>
        <w:widowControl w:val="0"/>
        <w:suppressAutoHyphens/>
        <w:ind w:firstLine="709"/>
        <w:jc w:val="both"/>
      </w:pPr>
      <w:r w:rsidRPr="005A58C7">
        <w:t>Центр образования (вечерняя школа);</w:t>
      </w:r>
    </w:p>
    <w:p w:rsidR="00C061C7" w:rsidRPr="005A58C7" w:rsidRDefault="00C061C7" w:rsidP="00C061C7">
      <w:pPr>
        <w:widowControl w:val="0"/>
        <w:suppressAutoHyphens/>
        <w:ind w:firstLine="708"/>
        <w:jc w:val="both"/>
      </w:pPr>
      <w:r>
        <w:t>-</w:t>
      </w:r>
      <w:r w:rsidRPr="005A58C7">
        <w:t xml:space="preserve"> </w:t>
      </w:r>
      <w:r>
        <w:t xml:space="preserve">3 </w:t>
      </w:r>
      <w:r w:rsidRPr="005A58C7">
        <w:t>организаци</w:t>
      </w:r>
      <w:r>
        <w:t>и</w:t>
      </w:r>
      <w:r w:rsidRPr="005A58C7">
        <w:t xml:space="preserve">  дополнительного образования - 3 (Дом детского творчества, </w:t>
      </w:r>
      <w:r>
        <w:t>с</w:t>
      </w:r>
      <w:r w:rsidRPr="005A58C7">
        <w:t xml:space="preserve">танция юных натуралистов, Детский оздоровительно-образовательный центр (ДООЦ). </w:t>
      </w:r>
    </w:p>
    <w:p w:rsidR="00C061C7" w:rsidRPr="005A58C7" w:rsidRDefault="00C061C7" w:rsidP="00C061C7">
      <w:pPr>
        <w:jc w:val="both"/>
      </w:pPr>
      <w:r w:rsidRPr="005A58C7">
        <w:t xml:space="preserve">  </w:t>
      </w:r>
      <w:r>
        <w:tab/>
        <w:t>В г. Бодайбо</w:t>
      </w:r>
      <w:r w:rsidRPr="005A58C7">
        <w:t xml:space="preserve"> находится  областное государственное учреждение </w:t>
      </w:r>
      <w:r>
        <w:t>- с</w:t>
      </w:r>
      <w:r w:rsidRPr="005A58C7">
        <w:t xml:space="preserve">пециальная </w:t>
      </w:r>
      <w:r>
        <w:t>(</w:t>
      </w:r>
      <w:r w:rsidRPr="005A58C7">
        <w:t>коррекционная</w:t>
      </w:r>
      <w:r>
        <w:t>)</w:t>
      </w:r>
      <w:r w:rsidRPr="005A58C7">
        <w:t xml:space="preserve"> школа-интернат 8 вида.</w:t>
      </w:r>
    </w:p>
    <w:p w:rsidR="00C061C7" w:rsidRPr="005A58C7" w:rsidRDefault="00C061C7" w:rsidP="00C061C7">
      <w:pPr>
        <w:ind w:firstLine="709"/>
        <w:jc w:val="both"/>
      </w:pPr>
      <w:r w:rsidRPr="005A58C7">
        <w:t>Главной целью</w:t>
      </w:r>
      <w:r>
        <w:t xml:space="preserve"> </w:t>
      </w:r>
      <w:r w:rsidRPr="005A58C7">
        <w:t>муниципальной системы образования является повышение доступности качественного образования, соответствующего современным потребностям общества и каждого гражданина.</w:t>
      </w:r>
    </w:p>
    <w:p w:rsidR="00C061C7" w:rsidRPr="005A58C7" w:rsidRDefault="00C061C7" w:rsidP="00C061C7">
      <w:pPr>
        <w:ind w:firstLine="720"/>
        <w:jc w:val="both"/>
      </w:pPr>
      <w:r w:rsidRPr="005A58C7">
        <w:t>Муниципальная система образования</w:t>
      </w:r>
      <w:r>
        <w:t xml:space="preserve"> </w:t>
      </w:r>
      <w:r w:rsidRPr="005A58C7">
        <w:t>продолжает сохранять лидирующее положение  в социальной инфраструктуре района как по числу занятых в отрасли, так и по сумме расходов. В 2013 г</w:t>
      </w:r>
      <w:r>
        <w:t>.</w:t>
      </w:r>
      <w:r w:rsidRPr="005A58C7">
        <w:t xml:space="preserve"> расходы консолидированного бюджета на образование  составили 560,0 млн. руб</w:t>
      </w:r>
      <w:r>
        <w:t>.</w:t>
      </w:r>
      <w:r w:rsidRPr="005A58C7">
        <w:t>, что на 88,5 млн. руб</w:t>
      </w:r>
      <w:r>
        <w:t>.</w:t>
      </w:r>
      <w:r w:rsidRPr="005A58C7">
        <w:t xml:space="preserve"> (19%) больше по сравнению с 2012 г</w:t>
      </w:r>
      <w:r>
        <w:t>.</w:t>
      </w:r>
    </w:p>
    <w:p w:rsidR="00C061C7" w:rsidRPr="005A58C7" w:rsidRDefault="00E933DA" w:rsidP="00C061C7">
      <w:pPr>
        <w:shd w:val="clear" w:color="auto" w:fill="FFFFFF"/>
        <w:ind w:firstLine="709"/>
        <w:jc w:val="both"/>
      </w:pPr>
      <w:r>
        <w:t>Ф</w:t>
      </w:r>
      <w:r w:rsidR="00C061C7" w:rsidRPr="005A58C7">
        <w:t xml:space="preserve">инансирование из местного бюджета </w:t>
      </w:r>
      <w:r>
        <w:t>у</w:t>
      </w:r>
      <w:r w:rsidRPr="005A58C7">
        <w:t xml:space="preserve">величено </w:t>
      </w:r>
      <w:r w:rsidR="00C061C7" w:rsidRPr="005A58C7">
        <w:t>на 73 млн. руб</w:t>
      </w:r>
      <w:r w:rsidR="00C061C7">
        <w:t>.</w:t>
      </w:r>
      <w:r w:rsidR="00C061C7" w:rsidRPr="005A58C7">
        <w:t>, и в целом составило в текущем году 347</w:t>
      </w:r>
      <w:r w:rsidR="00C061C7">
        <w:t>,2 млн. руб.</w:t>
      </w:r>
      <w:r w:rsidR="00C061C7" w:rsidRPr="005A58C7">
        <w:t xml:space="preserve"> Это дало возможность решения многих задач и</w:t>
      </w:r>
      <w:r w:rsidR="00C061C7">
        <w:t>,</w:t>
      </w:r>
      <w:r w:rsidR="00C061C7" w:rsidRPr="005A58C7">
        <w:t xml:space="preserve"> в первую очередь</w:t>
      </w:r>
      <w:r w:rsidR="00C061C7">
        <w:t>,</w:t>
      </w:r>
      <w:r w:rsidR="00C061C7" w:rsidRPr="005A58C7">
        <w:t xml:space="preserve"> укрепления материально-технической базы образовательных учреждений.</w:t>
      </w:r>
    </w:p>
    <w:p w:rsidR="00C061C7" w:rsidRPr="005A58C7" w:rsidRDefault="00C061C7" w:rsidP="00C061C7">
      <w:pPr>
        <w:ind w:firstLine="708"/>
        <w:jc w:val="both"/>
      </w:pPr>
      <w:r w:rsidRPr="005A58C7">
        <w:t xml:space="preserve">На выполнение программных мероприятий в </w:t>
      </w:r>
      <w:r>
        <w:t>2013 году было</w:t>
      </w:r>
      <w:r w:rsidRPr="005A58C7">
        <w:t xml:space="preserve"> предусмотрено 250</w:t>
      </w:r>
      <w:r>
        <w:t xml:space="preserve">,6 млн. руб., </w:t>
      </w:r>
      <w:r w:rsidRPr="005A58C7">
        <w:t>в том числе:</w:t>
      </w:r>
    </w:p>
    <w:p w:rsidR="00C061C7" w:rsidRPr="005A58C7" w:rsidRDefault="00C061C7" w:rsidP="00C061C7">
      <w:pPr>
        <w:ind w:firstLine="709"/>
        <w:jc w:val="both"/>
      </w:pPr>
      <w:r w:rsidRPr="005A58C7">
        <w:t>- на программу развития муниципальной системы образования – 11</w:t>
      </w:r>
      <w:r>
        <w:t>,</w:t>
      </w:r>
      <w:r w:rsidRPr="005A58C7">
        <w:t>8</w:t>
      </w:r>
      <w:r>
        <w:t xml:space="preserve"> млн.</w:t>
      </w:r>
      <w:r w:rsidRPr="005A58C7">
        <w:t xml:space="preserve"> руб</w:t>
      </w:r>
      <w:r>
        <w:t>.</w:t>
      </w:r>
      <w:r w:rsidRPr="005A58C7">
        <w:t>, это на 7</w:t>
      </w:r>
      <w:r>
        <w:t>,</w:t>
      </w:r>
      <w:r w:rsidRPr="005A58C7">
        <w:t>8</w:t>
      </w:r>
      <w:r>
        <w:t xml:space="preserve"> млн. руб.</w:t>
      </w:r>
      <w:r w:rsidRPr="005A58C7">
        <w:t xml:space="preserve"> больше</w:t>
      </w:r>
      <w:r>
        <w:t>,</w:t>
      </w:r>
      <w:r w:rsidRPr="005A58C7">
        <w:t xml:space="preserve"> чем в 2012</w:t>
      </w:r>
      <w:r>
        <w:t xml:space="preserve"> </w:t>
      </w:r>
      <w:r w:rsidRPr="005A58C7">
        <w:t>г</w:t>
      </w:r>
      <w:r>
        <w:t>.</w:t>
      </w:r>
      <w:r w:rsidRPr="005A58C7">
        <w:t>;</w:t>
      </w:r>
    </w:p>
    <w:p w:rsidR="00C061C7" w:rsidRPr="005A58C7" w:rsidRDefault="00C061C7" w:rsidP="00C061C7">
      <w:pPr>
        <w:ind w:firstLine="709"/>
        <w:jc w:val="both"/>
      </w:pPr>
      <w:r w:rsidRPr="005A58C7">
        <w:t>- на  программу «Обеспечение безопасности на объектах образования»-  7</w:t>
      </w:r>
      <w:r>
        <w:t>,</w:t>
      </w:r>
      <w:r w:rsidRPr="005A58C7">
        <w:t>1</w:t>
      </w:r>
      <w:r>
        <w:t xml:space="preserve"> млн.</w:t>
      </w:r>
      <w:r w:rsidRPr="005A58C7">
        <w:t xml:space="preserve">  руб</w:t>
      </w:r>
      <w:r>
        <w:t>.</w:t>
      </w:r>
      <w:r w:rsidRPr="005A58C7">
        <w:t>;</w:t>
      </w:r>
    </w:p>
    <w:p w:rsidR="00C061C7" w:rsidRPr="005A58C7" w:rsidRDefault="00C061C7" w:rsidP="00C061C7">
      <w:pPr>
        <w:ind w:firstLine="709"/>
        <w:jc w:val="both"/>
      </w:pPr>
      <w:r w:rsidRPr="005A58C7">
        <w:t>- на программу «Совершенствование организации питания общеобразовательных учреждений, расположенных на территории г. Бодайбо и района</w:t>
      </w:r>
      <w:r w:rsidR="00E933DA">
        <w:t>»</w:t>
      </w:r>
      <w:r w:rsidRPr="005A58C7">
        <w:t xml:space="preserve"> </w:t>
      </w:r>
      <w:r>
        <w:t>–</w:t>
      </w:r>
      <w:r w:rsidRPr="005A58C7">
        <w:t xml:space="preserve"> 6</w:t>
      </w:r>
      <w:r>
        <w:t>,1 млн. руб.</w:t>
      </w:r>
      <w:r w:rsidRPr="005A58C7">
        <w:t xml:space="preserve"> </w:t>
      </w:r>
    </w:p>
    <w:p w:rsidR="00C061C7" w:rsidRPr="005A58C7" w:rsidRDefault="00C061C7" w:rsidP="00C06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3"/>
        <w:jc w:val="both"/>
      </w:pPr>
      <w:r w:rsidRPr="005A58C7">
        <w:rPr>
          <w:color w:val="000000"/>
        </w:rPr>
        <w:tab/>
        <w:t xml:space="preserve">С каждым годом, несмотря на физическое старение зданий образовательных учреждений, благодаря плановым ремонтам, </w:t>
      </w:r>
      <w:r>
        <w:rPr>
          <w:color w:val="000000"/>
        </w:rPr>
        <w:t>условия обучения детей улучшаются.</w:t>
      </w:r>
      <w:r w:rsidRPr="005A58C7">
        <w:rPr>
          <w:color w:val="FF0000"/>
        </w:rPr>
        <w:t xml:space="preserve"> </w:t>
      </w:r>
    </w:p>
    <w:p w:rsidR="00C061C7" w:rsidRPr="005A58C7" w:rsidRDefault="00C061C7" w:rsidP="00C061C7">
      <w:pPr>
        <w:jc w:val="both"/>
      </w:pPr>
      <w:r w:rsidRPr="005A58C7">
        <w:t xml:space="preserve">  </w:t>
      </w:r>
      <w:r w:rsidRPr="005A58C7">
        <w:tab/>
        <w:t>29</w:t>
      </w:r>
      <w:r>
        <w:t>,9 млн. руб.</w:t>
      </w:r>
      <w:r w:rsidRPr="005A58C7">
        <w:t xml:space="preserve">  средств местного бюджета были направлены на проведение ремонтов образовательных учреждений</w:t>
      </w:r>
      <w:r>
        <w:t xml:space="preserve"> в 2013 г.</w:t>
      </w:r>
      <w:r w:rsidRPr="005A58C7">
        <w:t xml:space="preserve">, в том числе на капитальные </w:t>
      </w:r>
      <w:r>
        <w:t xml:space="preserve">ремонты </w:t>
      </w:r>
      <w:r w:rsidRPr="005A58C7">
        <w:t>– 11</w:t>
      </w:r>
      <w:r>
        <w:t>,3 млн. руб,,</w:t>
      </w:r>
      <w:r w:rsidRPr="005A58C7">
        <w:t xml:space="preserve">  текущие </w:t>
      </w:r>
      <w:r>
        <w:t xml:space="preserve">ремонты </w:t>
      </w:r>
      <w:r w:rsidRPr="005A58C7">
        <w:t>– 18</w:t>
      </w:r>
      <w:r>
        <w:t>,</w:t>
      </w:r>
      <w:r w:rsidRPr="005A58C7">
        <w:t>6</w:t>
      </w:r>
      <w:r>
        <w:t xml:space="preserve"> млн</w:t>
      </w:r>
      <w:r w:rsidRPr="005A58C7">
        <w:t xml:space="preserve">. руб.  </w:t>
      </w:r>
    </w:p>
    <w:p w:rsidR="00C061C7" w:rsidRPr="005A58C7" w:rsidRDefault="00C061C7" w:rsidP="00C061C7">
      <w:pPr>
        <w:ind w:firstLine="720"/>
        <w:jc w:val="both"/>
      </w:pPr>
      <w:r w:rsidRPr="005A58C7">
        <w:t>Финансово-экономическое,</w:t>
      </w:r>
      <w:r>
        <w:t xml:space="preserve"> </w:t>
      </w:r>
      <w:r w:rsidRPr="005A58C7">
        <w:t>научно-методическое, материально-техническое сопровождение деятельности образовательных учреждений осуществляют муниципальные казённые учреждения:</w:t>
      </w:r>
    </w:p>
    <w:p w:rsidR="00C061C7" w:rsidRPr="005A58C7" w:rsidRDefault="00C061C7" w:rsidP="00C061C7">
      <w:pPr>
        <w:ind w:firstLine="720"/>
        <w:jc w:val="both"/>
      </w:pPr>
      <w:r w:rsidRPr="005A58C7">
        <w:t>- «Централизованная бухгалтерия образовательных учреждений г. Бодайбо и района»;</w:t>
      </w:r>
    </w:p>
    <w:p w:rsidR="00C061C7" w:rsidRPr="005A58C7" w:rsidRDefault="00C061C7" w:rsidP="00C061C7">
      <w:pPr>
        <w:ind w:firstLine="720"/>
        <w:jc w:val="both"/>
      </w:pPr>
      <w:r w:rsidRPr="005A58C7">
        <w:t>- «Ресурсный центр г. Бодайбо и района»;</w:t>
      </w:r>
    </w:p>
    <w:p w:rsidR="00C061C7" w:rsidRPr="005A58C7" w:rsidRDefault="00C061C7" w:rsidP="00C061C7">
      <w:pPr>
        <w:ind w:firstLine="720"/>
        <w:jc w:val="both"/>
      </w:pPr>
      <w:r w:rsidRPr="005A58C7">
        <w:t>- «Ремонтно-эксплуатационная служба образовательных учреждений г. Бодайбо и района».</w:t>
      </w:r>
    </w:p>
    <w:p w:rsidR="00C061C7" w:rsidRPr="005A58C7" w:rsidRDefault="00C061C7" w:rsidP="00C061C7">
      <w:pPr>
        <w:ind w:firstLine="709"/>
        <w:jc w:val="both"/>
      </w:pPr>
      <w:r w:rsidRPr="005A58C7">
        <w:t>В образовательных организациях  в 2013  г</w:t>
      </w:r>
      <w:r>
        <w:t>.</w:t>
      </w:r>
      <w:r w:rsidRPr="005A58C7">
        <w:t xml:space="preserve"> трудилось  1077</w:t>
      </w:r>
      <w:r>
        <w:t xml:space="preserve"> </w:t>
      </w:r>
      <w:r w:rsidRPr="005A58C7">
        <w:t>чел</w:t>
      </w:r>
      <w:r>
        <w:t>. (из них</w:t>
      </w:r>
      <w:r w:rsidRPr="005A58C7">
        <w:t xml:space="preserve"> внешние совместители </w:t>
      </w:r>
      <w:r>
        <w:t>–</w:t>
      </w:r>
      <w:r w:rsidRPr="005A58C7">
        <w:t xml:space="preserve"> 36</w:t>
      </w:r>
      <w:r>
        <w:t>)</w:t>
      </w:r>
      <w:r w:rsidRPr="005A58C7">
        <w:t>, в т</w:t>
      </w:r>
      <w:r>
        <w:t>.ч.</w:t>
      </w:r>
      <w:r w:rsidRPr="005A58C7">
        <w:t xml:space="preserve">: </w:t>
      </w:r>
    </w:p>
    <w:p w:rsidR="00C061C7" w:rsidRPr="005A58C7" w:rsidRDefault="00C061C7" w:rsidP="00C061C7">
      <w:pPr>
        <w:ind w:firstLine="709"/>
        <w:jc w:val="both"/>
      </w:pPr>
      <w:r w:rsidRPr="005A58C7">
        <w:t>- в общеобразовательных организациях-  518 чел</w:t>
      </w:r>
      <w:r>
        <w:t>.</w:t>
      </w:r>
      <w:r w:rsidRPr="005A58C7">
        <w:t>, в т</w:t>
      </w:r>
      <w:r>
        <w:t xml:space="preserve">.ч. </w:t>
      </w:r>
      <w:r w:rsidRPr="005A58C7">
        <w:t xml:space="preserve">29 внешних совместителей; </w:t>
      </w:r>
    </w:p>
    <w:p w:rsidR="00C061C7" w:rsidRPr="005A58C7" w:rsidRDefault="00C061C7" w:rsidP="00C061C7">
      <w:pPr>
        <w:ind w:firstLine="709"/>
        <w:jc w:val="both"/>
      </w:pPr>
      <w:r w:rsidRPr="005A58C7">
        <w:lastRenderedPageBreak/>
        <w:t>- в дошкольных образовательных организациях – 370 чел</w:t>
      </w:r>
      <w:r>
        <w:t>.</w:t>
      </w:r>
      <w:r w:rsidRPr="005A58C7">
        <w:t>, в т</w:t>
      </w:r>
      <w:r>
        <w:t xml:space="preserve">.ч. </w:t>
      </w:r>
      <w:r w:rsidRPr="005A58C7">
        <w:t xml:space="preserve">14 внешних совместителей; </w:t>
      </w:r>
    </w:p>
    <w:p w:rsidR="00C061C7" w:rsidRPr="005A58C7" w:rsidRDefault="00C061C7" w:rsidP="00C061C7">
      <w:pPr>
        <w:ind w:firstLine="709"/>
        <w:jc w:val="both"/>
      </w:pPr>
      <w:r w:rsidRPr="005A58C7">
        <w:t>- в организациях дополнительного образования детей –  102  чел</w:t>
      </w:r>
      <w:r>
        <w:t>.</w:t>
      </w:r>
      <w:r w:rsidRPr="005A58C7">
        <w:t>, в т</w:t>
      </w:r>
      <w:r>
        <w:t>.ч.</w:t>
      </w:r>
      <w:r w:rsidRPr="005A58C7">
        <w:t xml:space="preserve">14 внешних совместителей; </w:t>
      </w:r>
    </w:p>
    <w:p w:rsidR="00C061C7" w:rsidRPr="005A58C7" w:rsidRDefault="00C061C7" w:rsidP="00C061C7">
      <w:pPr>
        <w:ind w:firstLine="709"/>
      </w:pPr>
      <w:r w:rsidRPr="005A58C7">
        <w:t xml:space="preserve"> - прочие работники –   87 чел</w:t>
      </w:r>
      <w:r>
        <w:t>.</w:t>
      </w:r>
      <w:r w:rsidRPr="005A58C7">
        <w:t>, в т</w:t>
      </w:r>
      <w:r>
        <w:t>.ч. один</w:t>
      </w:r>
      <w:r w:rsidRPr="005A58C7">
        <w:t xml:space="preserve"> внешний совместитель. </w:t>
      </w:r>
    </w:p>
    <w:p w:rsidR="00C061C7" w:rsidRPr="005A58C7" w:rsidRDefault="00C061C7" w:rsidP="00C061C7">
      <w:pPr>
        <w:ind w:firstLine="708"/>
        <w:jc w:val="both"/>
      </w:pPr>
      <w:r>
        <w:t>В</w:t>
      </w:r>
      <w:r w:rsidRPr="005A58C7">
        <w:t xml:space="preserve"> 2013 г</w:t>
      </w:r>
      <w:r>
        <w:t>.</w:t>
      </w:r>
      <w:r w:rsidRPr="005A58C7">
        <w:t xml:space="preserve"> </w:t>
      </w:r>
      <w:r>
        <w:t xml:space="preserve">в соответствии с </w:t>
      </w:r>
      <w:r w:rsidR="00E933DA">
        <w:t>У</w:t>
      </w:r>
      <w:r w:rsidRPr="005A58C7">
        <w:t>казами Президента РФ от 07</w:t>
      </w:r>
      <w:r w:rsidR="00E933DA">
        <w:t>.</w:t>
      </w:r>
      <w:r>
        <w:t>05.</w:t>
      </w:r>
      <w:r w:rsidRPr="005A58C7">
        <w:t>2012 г</w:t>
      </w:r>
      <w:r>
        <w:t>.</w:t>
      </w:r>
      <w:r w:rsidRPr="005A58C7">
        <w:t xml:space="preserve"> № 597 «О мероприятиях по реализации государственной социальной политики», от 01</w:t>
      </w:r>
      <w:r>
        <w:t>.06.</w:t>
      </w:r>
      <w:r w:rsidRPr="005A58C7">
        <w:t>2012 г</w:t>
      </w:r>
      <w:r>
        <w:t xml:space="preserve">. </w:t>
      </w:r>
      <w:r w:rsidRPr="005A58C7">
        <w:t>№ 761 «О национальной стратегии действий в интересах детей на 2012–2017 годы», которые направлены</w:t>
      </w:r>
      <w:r>
        <w:t xml:space="preserve"> </w:t>
      </w:r>
      <w:r w:rsidRPr="005A58C7">
        <w:t xml:space="preserve">на поэтапное повышение заработной платы педагогических </w:t>
      </w:r>
      <w:r>
        <w:t>р</w:t>
      </w:r>
      <w:r w:rsidRPr="005A58C7">
        <w:t>аботников.</w:t>
      </w:r>
      <w:r>
        <w:t xml:space="preserve"> </w:t>
      </w:r>
      <w:r w:rsidRPr="005A58C7">
        <w:t>произошло значительное увеличение фонда оплаты труда работников сферы образования</w:t>
      </w:r>
      <w:r>
        <w:t xml:space="preserve"> и</w:t>
      </w:r>
      <w:r w:rsidRPr="005A58C7">
        <w:t xml:space="preserve"> составило 70,5 млн. руб</w:t>
      </w:r>
      <w:r>
        <w:t>.</w:t>
      </w:r>
      <w:r w:rsidRPr="005A58C7">
        <w:t xml:space="preserve"> </w:t>
      </w:r>
    </w:p>
    <w:p w:rsidR="00C061C7" w:rsidRPr="005A58C7" w:rsidRDefault="00C061C7" w:rsidP="00C061C7">
      <w:pPr>
        <w:ind w:firstLine="708"/>
        <w:jc w:val="both"/>
      </w:pPr>
      <w:r w:rsidRPr="005A58C7">
        <w:t xml:space="preserve">С мая </w:t>
      </w:r>
      <w:r>
        <w:t xml:space="preserve">2013 г. </w:t>
      </w:r>
      <w:r w:rsidRPr="005A58C7">
        <w:t xml:space="preserve">увеличились на 10% оклады работников образовательных организаций, отнесённых к обслуживающему </w:t>
      </w:r>
      <w:r>
        <w:t xml:space="preserve"> </w:t>
      </w:r>
      <w:r w:rsidRPr="005A58C7">
        <w:t>и учебно–вспомогательному персоналу.</w:t>
      </w:r>
      <w:r w:rsidRPr="005A58C7">
        <w:tab/>
      </w:r>
    </w:p>
    <w:p w:rsidR="00C061C7" w:rsidRPr="005A58C7" w:rsidRDefault="00C061C7" w:rsidP="00C061C7">
      <w:pPr>
        <w:ind w:firstLine="708"/>
        <w:jc w:val="both"/>
      </w:pPr>
      <w:r w:rsidRPr="005A58C7">
        <w:t xml:space="preserve">В организациях, финансируемых из средств местного бюджета,  с </w:t>
      </w:r>
      <w:r>
        <w:t>01.10.2013 г.</w:t>
      </w:r>
      <w:r w:rsidRPr="005A58C7">
        <w:t xml:space="preserve"> увеличены оклады работникам</w:t>
      </w:r>
      <w:r>
        <w:t xml:space="preserve">, </w:t>
      </w:r>
      <w:r w:rsidRPr="005A58C7">
        <w:t>отнесённым к обслуживающему и учебно– вспомогательному персоналу на 5,5%.</w:t>
      </w:r>
    </w:p>
    <w:p w:rsidR="00C061C7" w:rsidRPr="005A58C7" w:rsidRDefault="00C061C7" w:rsidP="00C061C7">
      <w:pPr>
        <w:ind w:firstLine="709"/>
        <w:jc w:val="both"/>
      </w:pPr>
      <w:r w:rsidRPr="005A58C7">
        <w:t>Фонд заработной платы работников  сферы образования  и ЕСН в 2013 г</w:t>
      </w:r>
      <w:r>
        <w:t>.</w:t>
      </w:r>
      <w:r w:rsidRPr="005A58C7">
        <w:t xml:space="preserve"> составил 375,1 млн. руб</w:t>
      </w:r>
      <w:r>
        <w:t>.</w:t>
      </w:r>
      <w:r w:rsidRPr="005A58C7">
        <w:t xml:space="preserve"> или  68,7 % бюджета образования при средней заработной плате </w:t>
      </w:r>
      <w:r>
        <w:t>в размере</w:t>
      </w:r>
      <w:r w:rsidRPr="005A58C7">
        <w:t xml:space="preserve">   22</w:t>
      </w:r>
      <w:r>
        <w:t xml:space="preserve"> </w:t>
      </w:r>
      <w:r w:rsidRPr="005A58C7">
        <w:t>538 руб.</w:t>
      </w:r>
    </w:p>
    <w:p w:rsidR="00C061C7" w:rsidRDefault="00C061C7" w:rsidP="00C061C7">
      <w:pPr>
        <w:jc w:val="center"/>
      </w:pPr>
      <w:r w:rsidRPr="005A58C7">
        <w:t>Средняя заработная плата по видам образовательных учреждений</w:t>
      </w:r>
    </w:p>
    <w:p w:rsidR="00C061C7" w:rsidRPr="005A58C7" w:rsidRDefault="00C061C7" w:rsidP="00C061C7">
      <w:pPr>
        <w:jc w:val="center"/>
      </w:pPr>
    </w:p>
    <w:tbl>
      <w:tblPr>
        <w:tblW w:w="943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1"/>
        <w:gridCol w:w="3969"/>
      </w:tblGrid>
      <w:tr w:rsidR="00C061C7" w:rsidRPr="00091442" w:rsidTr="00C061C7">
        <w:trPr>
          <w:trHeight w:val="537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Вид образовательных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 xml:space="preserve">Средняя заработная плата 1 работника </w:t>
            </w:r>
          </w:p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в 2013 году,  руб.</w:t>
            </w:r>
          </w:p>
        </w:tc>
      </w:tr>
      <w:tr w:rsidR="00C061C7" w:rsidRPr="00091442" w:rsidTr="00C061C7">
        <w:trPr>
          <w:trHeight w:val="37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 xml:space="preserve">Общеобразовательные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tabs>
                <w:tab w:val="left" w:pos="1935"/>
              </w:tabs>
              <w:jc w:val="center"/>
            </w:pPr>
            <w:r w:rsidRPr="009B275E">
              <w:rPr>
                <w:sz w:val="22"/>
                <w:szCs w:val="22"/>
              </w:rPr>
              <w:t>25 620</w:t>
            </w:r>
          </w:p>
        </w:tc>
      </w:tr>
      <w:tr w:rsidR="00C061C7" w:rsidRPr="00091442" w:rsidTr="00C061C7">
        <w:trPr>
          <w:trHeight w:val="386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 xml:space="preserve">Дошкольные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tabs>
                <w:tab w:val="left" w:pos="1950"/>
              </w:tabs>
              <w:jc w:val="center"/>
            </w:pPr>
            <w:r w:rsidRPr="009B275E">
              <w:rPr>
                <w:sz w:val="22"/>
                <w:szCs w:val="22"/>
              </w:rPr>
              <w:t>19 020</w:t>
            </w:r>
          </w:p>
        </w:tc>
      </w:tr>
      <w:tr w:rsidR="00C061C7" w:rsidRPr="00091442" w:rsidTr="00C061C7">
        <w:trPr>
          <w:trHeight w:val="45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18 436</w:t>
            </w:r>
          </w:p>
        </w:tc>
      </w:tr>
    </w:tbl>
    <w:p w:rsidR="00C061C7" w:rsidRPr="00091442" w:rsidRDefault="00C061C7" w:rsidP="00C061C7">
      <w:pPr>
        <w:jc w:val="center"/>
      </w:pPr>
    </w:p>
    <w:p w:rsidR="00C061C7" w:rsidRDefault="00C061C7" w:rsidP="00C061C7">
      <w:pPr>
        <w:jc w:val="center"/>
      </w:pPr>
      <w:r w:rsidRPr="00091442">
        <w:t>Средняя заработная плата по категориям работников</w:t>
      </w:r>
    </w:p>
    <w:p w:rsidR="009B275E" w:rsidRPr="00091442" w:rsidRDefault="009B275E" w:rsidP="00C061C7">
      <w:pPr>
        <w:jc w:val="center"/>
      </w:pPr>
    </w:p>
    <w:tbl>
      <w:tblPr>
        <w:tblW w:w="966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1"/>
        <w:gridCol w:w="4202"/>
      </w:tblGrid>
      <w:tr w:rsidR="00C061C7" w:rsidRPr="00091442" w:rsidTr="00C061C7">
        <w:trPr>
          <w:trHeight w:val="489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 xml:space="preserve">Средняя заработная плата 1 работника  </w:t>
            </w:r>
          </w:p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в 2013 году,  руб.</w:t>
            </w:r>
          </w:p>
        </w:tc>
      </w:tr>
      <w:tr w:rsidR="00C061C7" w:rsidRPr="00091442" w:rsidTr="00C061C7">
        <w:trPr>
          <w:trHeight w:val="538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>Педагогический персонал в общеобразовательных организациях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tabs>
                <w:tab w:val="left" w:pos="1935"/>
              </w:tabs>
              <w:jc w:val="center"/>
            </w:pPr>
            <w:r w:rsidRPr="009B275E">
              <w:rPr>
                <w:sz w:val="22"/>
                <w:szCs w:val="22"/>
              </w:rPr>
              <w:t>37 330</w:t>
            </w:r>
          </w:p>
        </w:tc>
      </w:tr>
      <w:tr w:rsidR="00C061C7" w:rsidRPr="00091442" w:rsidTr="00C061C7">
        <w:trPr>
          <w:trHeight w:val="54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>Обслуживающий персонал общеобразовательных  организациях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tabs>
                <w:tab w:val="left" w:pos="1950"/>
              </w:tabs>
              <w:jc w:val="center"/>
            </w:pPr>
            <w:r w:rsidRPr="009B275E">
              <w:rPr>
                <w:sz w:val="22"/>
                <w:szCs w:val="22"/>
              </w:rPr>
              <w:t>10 812</w:t>
            </w:r>
          </w:p>
        </w:tc>
      </w:tr>
      <w:tr w:rsidR="00C061C7" w:rsidRPr="00091442" w:rsidTr="00C061C7">
        <w:trPr>
          <w:trHeight w:val="423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 xml:space="preserve">Педагогический персонал  в дошкольных организациях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29 820</w:t>
            </w:r>
          </w:p>
        </w:tc>
      </w:tr>
      <w:tr w:rsidR="00C061C7" w:rsidRPr="00091442" w:rsidTr="00C061C7">
        <w:trPr>
          <w:trHeight w:val="56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>Обслуживающий персонал  в дошкольных организациях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10 433</w:t>
            </w:r>
          </w:p>
        </w:tc>
      </w:tr>
      <w:tr w:rsidR="00C061C7" w:rsidRPr="00091442" w:rsidTr="00C061C7">
        <w:trPr>
          <w:trHeight w:val="409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r w:rsidRPr="009B275E">
              <w:rPr>
                <w:sz w:val="22"/>
                <w:szCs w:val="22"/>
              </w:rPr>
              <w:t>Педагогический персонал  в  организациях дополнительного образования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7" w:rsidRPr="009B275E" w:rsidRDefault="00C061C7" w:rsidP="00C061C7">
            <w:pPr>
              <w:jc w:val="center"/>
            </w:pPr>
            <w:r w:rsidRPr="009B275E">
              <w:rPr>
                <w:sz w:val="22"/>
                <w:szCs w:val="22"/>
              </w:rPr>
              <w:t>28 311</w:t>
            </w:r>
          </w:p>
        </w:tc>
      </w:tr>
    </w:tbl>
    <w:p w:rsidR="00C061C7" w:rsidRDefault="00C061C7" w:rsidP="00C061C7">
      <w:pPr>
        <w:jc w:val="both"/>
      </w:pPr>
      <w:r w:rsidRPr="005A58C7">
        <w:t xml:space="preserve">            </w:t>
      </w:r>
    </w:p>
    <w:p w:rsidR="00C061C7" w:rsidRPr="005A58C7" w:rsidRDefault="00C061C7" w:rsidP="00C061C7">
      <w:pPr>
        <w:ind w:firstLine="709"/>
        <w:jc w:val="both"/>
      </w:pPr>
      <w:r w:rsidRPr="005A58C7">
        <w:t>Повышение материальной обеспеченности и социального статуса педагога стало важнейшей задачей в деятельности администрации МО г. Бодайбо и района.</w:t>
      </w:r>
    </w:p>
    <w:p w:rsidR="00C061C7" w:rsidRPr="005A58C7" w:rsidRDefault="00C061C7" w:rsidP="00C061C7">
      <w:pPr>
        <w:jc w:val="both"/>
      </w:pPr>
      <w:r w:rsidRPr="005A58C7">
        <w:t xml:space="preserve">       </w:t>
      </w:r>
      <w:r>
        <w:tab/>
      </w:r>
      <w:r w:rsidRPr="005A58C7">
        <w:t>В 2013 г</w:t>
      </w:r>
      <w:r>
        <w:t xml:space="preserve">. </w:t>
      </w:r>
      <w:r w:rsidRPr="005A58C7">
        <w:t xml:space="preserve"> все образовательные учреждения г. Бодайбо и района работали в условиях новой системы оплаты труда.</w:t>
      </w:r>
    </w:p>
    <w:p w:rsidR="00C061C7" w:rsidRPr="005A58C7" w:rsidRDefault="00C061C7" w:rsidP="00C061C7">
      <w:pPr>
        <w:tabs>
          <w:tab w:val="left" w:pos="709"/>
        </w:tabs>
        <w:jc w:val="both"/>
      </w:pPr>
      <w:r w:rsidRPr="005A58C7">
        <w:t xml:space="preserve">           С </w:t>
      </w:r>
      <w:r>
        <w:t>01.11.2</w:t>
      </w:r>
      <w:r w:rsidRPr="005A58C7">
        <w:t>013 г</w:t>
      </w:r>
      <w:r>
        <w:t>. в соответствии с п</w:t>
      </w:r>
      <w:r w:rsidRPr="005A58C7">
        <w:t>остановлен</w:t>
      </w:r>
      <w:r>
        <w:t>ием администрации</w:t>
      </w:r>
      <w:r w:rsidRPr="005A58C7">
        <w:t xml:space="preserve"> г.Бодайбо и района от 06.05.2013г № 279-п «План мероприятий МО г.Бодайбо и района («дорожная карта») «Изменения в сфере образования, направленные на повышения его эффективности»,  все руководители образовательных организаций были переведены на эффективные контракты. </w:t>
      </w:r>
      <w:r>
        <w:t>Б</w:t>
      </w:r>
      <w:r w:rsidRPr="005A58C7">
        <w:t xml:space="preserve">ыли установлены  показатели эффективной деятельности руководителей образовательных </w:t>
      </w:r>
      <w:r w:rsidRPr="005A58C7">
        <w:lastRenderedPageBreak/>
        <w:t xml:space="preserve">организаций </w:t>
      </w:r>
      <w:r w:rsidR="00E933DA">
        <w:t>(</w:t>
      </w:r>
      <w:r w:rsidRPr="005A58C7">
        <w:t xml:space="preserve">постановление </w:t>
      </w:r>
      <w:r>
        <w:t>администрации</w:t>
      </w:r>
      <w:r w:rsidRPr="005A58C7">
        <w:t xml:space="preserve"> г.Бодайбо и района № 797-п от 23.12.2013</w:t>
      </w:r>
      <w:r>
        <w:t xml:space="preserve"> </w:t>
      </w:r>
      <w:r w:rsidRPr="005A58C7">
        <w:t>г</w:t>
      </w:r>
      <w:r>
        <w:t>.</w:t>
      </w:r>
      <w:r w:rsidRPr="005A58C7">
        <w:t xml:space="preserve">  «О внесении изм</w:t>
      </w:r>
      <w:r>
        <w:t>е</w:t>
      </w:r>
      <w:r w:rsidRPr="005A58C7">
        <w:t>нений и дополнения в постановление администрации г.Бодайбо и района от 29.10.2010г. № 506–пп «Об утверждении Примерного положения об оплате труда работников муниципальных образовательных учреждений, подведомственных управлению образования администрации г.Бодайбо и района, отличной от Единой тарифной сетки»</w:t>
      </w:r>
      <w:r w:rsidR="00E933DA">
        <w:t>)</w:t>
      </w:r>
      <w:r w:rsidRPr="005A58C7">
        <w:t>.</w:t>
      </w:r>
    </w:p>
    <w:p w:rsidR="00C061C7" w:rsidRPr="005A58C7" w:rsidRDefault="00C061C7" w:rsidP="00C061C7">
      <w:pPr>
        <w:jc w:val="both"/>
      </w:pPr>
      <w:r w:rsidRPr="005A58C7">
        <w:t xml:space="preserve">           Средняя заработная плата педагогов школ в 2013 г</w:t>
      </w:r>
      <w:r>
        <w:t>.</w:t>
      </w:r>
      <w:r w:rsidRPr="005A58C7">
        <w:t xml:space="preserve"> составила  37</w:t>
      </w:r>
      <w:r>
        <w:t xml:space="preserve"> 3</w:t>
      </w:r>
      <w:r w:rsidRPr="005A58C7">
        <w:t>30 руб</w:t>
      </w:r>
      <w:r>
        <w:t>.</w:t>
      </w:r>
      <w:r w:rsidRPr="005A58C7">
        <w:t xml:space="preserve"> (выросла на 12</w:t>
      </w:r>
      <w:r>
        <w:t xml:space="preserve"> </w:t>
      </w:r>
      <w:r w:rsidRPr="005A58C7">
        <w:t>484 руб.</w:t>
      </w:r>
      <w:r>
        <w:t xml:space="preserve"> или 50%).</w:t>
      </w:r>
    </w:p>
    <w:p w:rsidR="00C061C7" w:rsidRDefault="00C061C7" w:rsidP="00C061C7">
      <w:pPr>
        <w:jc w:val="both"/>
      </w:pPr>
      <w:r w:rsidRPr="005A58C7">
        <w:t xml:space="preserve">      </w:t>
      </w:r>
      <w:r>
        <w:tab/>
      </w:r>
      <w:r w:rsidRPr="005A58C7">
        <w:t xml:space="preserve">Средняя заработная плата педагогических работников дошкольных образовательных учреждений </w:t>
      </w:r>
      <w:r w:rsidR="00E933DA">
        <w:t xml:space="preserve"> </w:t>
      </w:r>
      <w:r w:rsidRPr="005A58C7">
        <w:t>составляла 29</w:t>
      </w:r>
      <w:r>
        <w:t xml:space="preserve"> </w:t>
      </w:r>
      <w:r w:rsidRPr="005A58C7">
        <w:t>820 руб</w:t>
      </w:r>
      <w:r>
        <w:t>.</w:t>
      </w:r>
      <w:r w:rsidRPr="005A58C7">
        <w:t xml:space="preserve"> </w:t>
      </w:r>
      <w:r w:rsidR="00E933DA">
        <w:t xml:space="preserve"> и </w:t>
      </w:r>
      <w:r w:rsidRPr="005A58C7">
        <w:t>выросла  на 12</w:t>
      </w:r>
      <w:r>
        <w:t xml:space="preserve"> </w:t>
      </w:r>
      <w:r w:rsidRPr="005A58C7">
        <w:t>678 руб.</w:t>
      </w:r>
      <w:r>
        <w:t xml:space="preserve"> или</w:t>
      </w:r>
      <w:r w:rsidRPr="005A58C7">
        <w:t xml:space="preserve"> 74%.  </w:t>
      </w:r>
    </w:p>
    <w:p w:rsidR="00C061C7" w:rsidRPr="005A58C7" w:rsidRDefault="00C061C7" w:rsidP="00C061C7">
      <w:pPr>
        <w:ind w:firstLine="708"/>
        <w:jc w:val="both"/>
      </w:pPr>
      <w:r w:rsidRPr="005A58C7">
        <w:t>Средняя заработная плата педагогических работников учреждений дополнительного образования  составила 28</w:t>
      </w:r>
      <w:r>
        <w:t xml:space="preserve"> </w:t>
      </w:r>
      <w:r w:rsidRPr="005A58C7">
        <w:t>311 рублей (выросла на 7</w:t>
      </w:r>
      <w:r>
        <w:t xml:space="preserve"> </w:t>
      </w:r>
      <w:r w:rsidRPr="005A58C7">
        <w:t xml:space="preserve">459 рублей </w:t>
      </w:r>
      <w:r>
        <w:t xml:space="preserve">или </w:t>
      </w:r>
      <w:r w:rsidRPr="005A58C7">
        <w:t>34%).</w:t>
      </w:r>
    </w:p>
    <w:p w:rsidR="00C061C7" w:rsidRPr="005A58C7" w:rsidRDefault="00C061C7" w:rsidP="00C061C7">
      <w:pPr>
        <w:ind w:firstLine="708"/>
        <w:jc w:val="both"/>
      </w:pPr>
      <w:r w:rsidRPr="005A58C7">
        <w:t xml:space="preserve">Вместе с тем выполнение </w:t>
      </w:r>
      <w:r w:rsidR="00E933DA">
        <w:t>У</w:t>
      </w:r>
      <w:r w:rsidRPr="005A58C7">
        <w:t>каза Президента РФ от 07</w:t>
      </w:r>
      <w:r>
        <w:t>.05.</w:t>
      </w:r>
      <w:r w:rsidRPr="005A58C7">
        <w:t>2012 г</w:t>
      </w:r>
      <w:r>
        <w:t xml:space="preserve">. </w:t>
      </w:r>
      <w:r w:rsidRPr="005A58C7">
        <w:t>№ 597 «О мероприятиях по реализации государственной социальной политики»</w:t>
      </w:r>
      <w:r>
        <w:t xml:space="preserve"> </w:t>
      </w:r>
      <w:r w:rsidRPr="005A58C7">
        <w:t>сопряжен</w:t>
      </w:r>
      <w:r>
        <w:t>о</w:t>
      </w:r>
      <w:r w:rsidRPr="005A58C7">
        <w:t xml:space="preserve"> с серьезными проблемами. Улучшая условия оплаты труда педагогического персонала (в основном за счет фонда стимулирования), ухудшаются условия оплаты труда учебно-вспомогательного и младшего обслуживающего персонала.  </w:t>
      </w:r>
      <w:r w:rsidRPr="005A58C7">
        <w:tab/>
      </w:r>
    </w:p>
    <w:p w:rsidR="00C061C7" w:rsidRPr="005A58C7" w:rsidRDefault="00C061C7" w:rsidP="00C061C7">
      <w:pPr>
        <w:ind w:firstLine="720"/>
        <w:contextualSpacing/>
        <w:jc w:val="both"/>
      </w:pPr>
      <w:r w:rsidRPr="005A58C7">
        <w:t xml:space="preserve">На </w:t>
      </w:r>
      <w:r>
        <w:t>0</w:t>
      </w:r>
      <w:r w:rsidRPr="005A58C7">
        <w:t>1.09.2013 г</w:t>
      </w:r>
      <w:r>
        <w:t>.</w:t>
      </w:r>
      <w:r w:rsidRPr="005A58C7">
        <w:t xml:space="preserve"> общий контингент обучающихся составил 2728  чел</w:t>
      </w:r>
      <w:r>
        <w:t>.</w:t>
      </w:r>
      <w:r w:rsidRPr="005A58C7">
        <w:t>, в т</w:t>
      </w:r>
      <w:r>
        <w:t>.ч.</w:t>
      </w:r>
      <w:r w:rsidRPr="005A58C7">
        <w:t>:</w:t>
      </w:r>
    </w:p>
    <w:p w:rsidR="00C061C7" w:rsidRPr="005A58C7" w:rsidRDefault="00C061C7" w:rsidP="00C061C7">
      <w:pPr>
        <w:ind w:firstLine="720"/>
        <w:contextualSpacing/>
        <w:jc w:val="both"/>
      </w:pPr>
      <w:r w:rsidRPr="005A58C7">
        <w:t>- учащихся  общеобразовательных школ – 2 527 чел</w:t>
      </w:r>
      <w:r>
        <w:t>.</w:t>
      </w:r>
      <w:r w:rsidRPr="005A58C7">
        <w:t>;</w:t>
      </w:r>
    </w:p>
    <w:p w:rsidR="00C061C7" w:rsidRPr="005A58C7" w:rsidRDefault="00C061C7" w:rsidP="00C061C7">
      <w:pPr>
        <w:pStyle w:val="msonormalcxspmiddlecxspmiddle"/>
        <w:spacing w:after="0"/>
        <w:ind w:firstLine="720"/>
        <w:contextualSpacing/>
        <w:jc w:val="both"/>
      </w:pPr>
      <w:r w:rsidRPr="005A58C7">
        <w:t>- Центра образования – 90 чел</w:t>
      </w:r>
      <w:r>
        <w:t>.</w:t>
      </w:r>
      <w:r w:rsidRPr="005A58C7">
        <w:t>;</w:t>
      </w:r>
    </w:p>
    <w:p w:rsidR="00C061C7" w:rsidRPr="005A58C7" w:rsidRDefault="00C061C7" w:rsidP="00C061C7">
      <w:pPr>
        <w:pStyle w:val="msonormalcxspmiddlecxspmiddlecxspmiddle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</w:rPr>
      </w:pPr>
      <w:r w:rsidRPr="005A58C7">
        <w:rPr>
          <w:rFonts w:ascii="Times New Roman" w:hAnsi="Times New Roman"/>
        </w:rPr>
        <w:t>- учащихся  ОГСОУ специальной коррекционной школы – 111 чел</w:t>
      </w:r>
      <w:r>
        <w:rPr>
          <w:rFonts w:ascii="Times New Roman" w:hAnsi="Times New Roman"/>
        </w:rPr>
        <w:t>.</w:t>
      </w:r>
    </w:p>
    <w:p w:rsidR="00C061C7" w:rsidRPr="005A58C7" w:rsidRDefault="00C061C7" w:rsidP="00C061C7">
      <w:pPr>
        <w:pStyle w:val="msonormalcxspmiddlecxspmiddle"/>
        <w:spacing w:after="0"/>
        <w:ind w:firstLine="720"/>
        <w:contextualSpacing/>
        <w:jc w:val="both"/>
      </w:pPr>
      <w:r w:rsidRPr="005A58C7">
        <w:t>Тенденция сокращения числа обучающихся продолжает сохраняться. По сравнению с 2012 г</w:t>
      </w:r>
      <w:r>
        <w:t>.</w:t>
      </w:r>
      <w:r w:rsidRPr="005A58C7">
        <w:t xml:space="preserve"> количество обучающихся сократилось на 72 чел</w:t>
      </w:r>
      <w:r>
        <w:t>.</w:t>
      </w:r>
    </w:p>
    <w:p w:rsidR="00C061C7" w:rsidRDefault="00C061C7" w:rsidP="00C061C7">
      <w:pPr>
        <w:ind w:firstLine="709"/>
        <w:jc w:val="both"/>
      </w:pPr>
      <w:r w:rsidRPr="005A58C7">
        <w:t>Средняя наполняемость классов по району в 2013 г на 01.09.</w:t>
      </w:r>
      <w:r w:rsidR="00E933DA">
        <w:t>20</w:t>
      </w:r>
      <w:r w:rsidRPr="005A58C7">
        <w:t xml:space="preserve">13 г. составила 17,22  (в 2012 </w:t>
      </w:r>
      <w:r>
        <w:t>г.</w:t>
      </w:r>
      <w:r w:rsidRPr="005A58C7">
        <w:t xml:space="preserve"> – 17,44). По г</w:t>
      </w:r>
      <w:r>
        <w:t>.</w:t>
      </w:r>
      <w:r w:rsidRPr="005A58C7">
        <w:t xml:space="preserve"> Бодайбо  средняя наполняемость – 22,15  (в 2012 г. -  20,1), в поселках – 13,42 (в 2012 г. – 17,2), на селе – 7,53 (в 2012 г. – 8,9). </w:t>
      </w:r>
    </w:p>
    <w:p w:rsidR="00C061C7" w:rsidRPr="005A58C7" w:rsidRDefault="00C061C7" w:rsidP="00C061C7">
      <w:pPr>
        <w:ind w:firstLine="708"/>
        <w:jc w:val="both"/>
      </w:pPr>
      <w:r w:rsidRPr="005A58C7">
        <w:t>Модернизация общего образования, в конечном итоге,  направлена на повышение качества выпускников школ, и здесь одним из главных критериев  является итоговая аттестация.</w:t>
      </w:r>
    </w:p>
    <w:p w:rsidR="00C061C7" w:rsidRPr="005A58C7" w:rsidRDefault="00C061C7" w:rsidP="009B275E">
      <w:pPr>
        <w:jc w:val="both"/>
        <w:rPr>
          <w:bCs/>
        </w:rPr>
      </w:pPr>
      <w:r w:rsidRPr="005A58C7">
        <w:t xml:space="preserve">  </w:t>
      </w:r>
      <w:r w:rsidRPr="005A58C7">
        <w:tab/>
        <w:t>В районе сложилась эффективная система организованных форм оздоровления, отдыха и занятости детей. В</w:t>
      </w:r>
      <w:r>
        <w:t xml:space="preserve"> </w:t>
      </w:r>
      <w:r w:rsidRPr="005A58C7">
        <w:t>2013 г</w:t>
      </w:r>
      <w:r>
        <w:t>.</w:t>
      </w:r>
      <w:r w:rsidRPr="005A58C7">
        <w:t xml:space="preserve">  обучающиеся Бодайбинского района были охвачены различными  формами летней занятости:</w:t>
      </w:r>
      <w:r>
        <w:t xml:space="preserve"> </w:t>
      </w:r>
      <w:r w:rsidRPr="005A58C7">
        <w:rPr>
          <w:bCs/>
        </w:rPr>
        <w:t xml:space="preserve"> лагеря дневного пребывания</w:t>
      </w:r>
      <w:r>
        <w:rPr>
          <w:bCs/>
        </w:rPr>
        <w:t xml:space="preserve"> и </w:t>
      </w:r>
      <w:r w:rsidRPr="005A58C7">
        <w:rPr>
          <w:bCs/>
        </w:rPr>
        <w:t>лагеря труда и отдыха.</w:t>
      </w:r>
    </w:p>
    <w:p w:rsidR="00C061C7" w:rsidRPr="009B275E" w:rsidRDefault="00C061C7" w:rsidP="00C061C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084"/>
      <w:bookmarkEnd w:id="5"/>
      <w:r w:rsidRPr="009B275E">
        <w:rPr>
          <w:b/>
        </w:rPr>
        <w:t>Культура</w:t>
      </w:r>
    </w:p>
    <w:p w:rsidR="00C061C7" w:rsidRPr="009B275E" w:rsidRDefault="00C061C7" w:rsidP="00C061C7">
      <w:pPr>
        <w:jc w:val="both"/>
        <w:rPr>
          <w:b/>
          <w:color w:val="222222"/>
        </w:rPr>
      </w:pPr>
    </w:p>
    <w:p w:rsidR="00C061C7" w:rsidRPr="00D578C2" w:rsidRDefault="00C061C7" w:rsidP="00C061C7">
      <w:pPr>
        <w:ind w:firstLine="708"/>
        <w:jc w:val="both"/>
      </w:pPr>
      <w:r w:rsidRPr="00D578C2">
        <w:t xml:space="preserve">Сеть учреждений культуры представлена </w:t>
      </w:r>
      <w:r w:rsidR="00E933DA">
        <w:t>4</w:t>
      </w:r>
      <w:r w:rsidRPr="00D578C2">
        <w:t xml:space="preserve"> муниципальными  учреждениями, </w:t>
      </w:r>
      <w:r w:rsidR="00E933DA">
        <w:t>в состав которых входят:</w:t>
      </w:r>
      <w:r w:rsidRPr="00D578C2">
        <w:t xml:space="preserve"> культурно–досуговы</w:t>
      </w:r>
      <w:r w:rsidR="003E192C">
        <w:t xml:space="preserve">е </w:t>
      </w:r>
      <w:r w:rsidRPr="00D578C2">
        <w:t xml:space="preserve"> </w:t>
      </w:r>
      <w:r w:rsidR="003E192C">
        <w:t>подразделения</w:t>
      </w:r>
      <w:r w:rsidRPr="00D578C2">
        <w:t xml:space="preserve"> – 10, библиотек</w:t>
      </w:r>
      <w:r w:rsidR="003E192C">
        <w:t>и</w:t>
      </w:r>
      <w:r w:rsidRPr="00D578C2">
        <w:t xml:space="preserve"> – 10, музе</w:t>
      </w:r>
      <w:r w:rsidR="003E192C">
        <w:t>й</w:t>
      </w:r>
      <w:r w:rsidRPr="00D578C2">
        <w:t xml:space="preserve"> – 1, учреждени</w:t>
      </w:r>
      <w:r w:rsidR="003E192C">
        <w:t>я</w:t>
      </w:r>
      <w:r w:rsidRPr="00D578C2">
        <w:t xml:space="preserve"> дополнительного образования (музыкальны</w:t>
      </w:r>
      <w:r w:rsidR="003E192C">
        <w:t>е</w:t>
      </w:r>
      <w:r w:rsidRPr="00D578C2">
        <w:t xml:space="preserve"> школ</w:t>
      </w:r>
      <w:r w:rsidR="003E192C">
        <w:t>ы</w:t>
      </w:r>
      <w:r w:rsidRPr="00D578C2">
        <w:t>) – 5.</w:t>
      </w:r>
    </w:p>
    <w:p w:rsidR="00C061C7" w:rsidRPr="00D578C2" w:rsidRDefault="00C061C7" w:rsidP="00C061C7">
      <w:pPr>
        <w:ind w:firstLine="708"/>
        <w:jc w:val="both"/>
      </w:pPr>
      <w:r w:rsidRPr="00D578C2">
        <w:t xml:space="preserve">К прочим относится – 2 учреждения: 1 - аппарат управления, 1 </w:t>
      </w:r>
      <w:r w:rsidR="003E192C">
        <w:t>–</w:t>
      </w:r>
      <w:r w:rsidRPr="00D578C2">
        <w:t xml:space="preserve"> бухгалтерия</w:t>
      </w:r>
      <w:r w:rsidR="003E192C">
        <w:t xml:space="preserve"> с</w:t>
      </w:r>
      <w:r w:rsidRPr="00D578C2">
        <w:t xml:space="preserve"> хозяйственн</w:t>
      </w:r>
      <w:r w:rsidR="003E192C">
        <w:t>ой</w:t>
      </w:r>
      <w:r w:rsidRPr="00D578C2">
        <w:t xml:space="preserve"> групп</w:t>
      </w:r>
      <w:r w:rsidR="003E192C">
        <w:t>ой</w:t>
      </w:r>
      <w:r w:rsidRPr="00D578C2">
        <w:t xml:space="preserve">. Данные учреждения занимаются организационно–правовым, финансово-экономическим, методическим, материально-техническим сопровождением деятельности учреждений культуры. </w:t>
      </w:r>
    </w:p>
    <w:p w:rsidR="00C061C7" w:rsidRPr="00D578C2" w:rsidRDefault="00C061C7" w:rsidP="00C061C7">
      <w:pPr>
        <w:ind w:firstLine="708"/>
        <w:jc w:val="both"/>
      </w:pPr>
      <w:r w:rsidRPr="00D578C2">
        <w:t>Все учреждений культуры имеют статус  казенных.</w:t>
      </w:r>
    </w:p>
    <w:p w:rsidR="00C061C7" w:rsidRPr="00D578C2" w:rsidRDefault="00C061C7" w:rsidP="00C061C7">
      <w:pPr>
        <w:ind w:firstLine="708"/>
        <w:jc w:val="both"/>
      </w:pPr>
      <w:r w:rsidRPr="00D578C2">
        <w:t>Сокращение сети учреждений культуры в 2013 г. составило  2 ед</w:t>
      </w:r>
      <w:r>
        <w:t xml:space="preserve">., а именно: </w:t>
      </w:r>
      <w:r w:rsidRPr="00D578C2">
        <w:t xml:space="preserve">с </w:t>
      </w:r>
      <w:r>
        <w:t>01.09.</w:t>
      </w:r>
      <w:r w:rsidRPr="00D578C2">
        <w:t>2013 г</w:t>
      </w:r>
      <w:r>
        <w:t xml:space="preserve">. </w:t>
      </w:r>
      <w:r w:rsidRPr="00D578C2">
        <w:t xml:space="preserve">закрыты </w:t>
      </w:r>
      <w:r>
        <w:t>две</w:t>
      </w:r>
      <w:r w:rsidRPr="00D578C2">
        <w:t xml:space="preserve"> музыкальные школы п. Кропоткин и  п. Перевоз (структурные подразделения МКОУ ДОД «ДМШ г. Бодайбо и района») по причине отсутствия преподавателей.  </w:t>
      </w:r>
    </w:p>
    <w:p w:rsidR="00C061C7" w:rsidRDefault="00C061C7" w:rsidP="009B275E">
      <w:pPr>
        <w:ind w:firstLine="708"/>
        <w:jc w:val="both"/>
      </w:pPr>
      <w:r w:rsidRPr="00D578C2">
        <w:t>Среднесписочная численность</w:t>
      </w:r>
      <w:r w:rsidRPr="00D578C2">
        <w:rPr>
          <w:b/>
        </w:rPr>
        <w:t xml:space="preserve"> </w:t>
      </w:r>
      <w:r w:rsidRPr="00D578C2">
        <w:t xml:space="preserve">работников </w:t>
      </w:r>
      <w:r>
        <w:t>в</w:t>
      </w:r>
      <w:r w:rsidRPr="00D578C2">
        <w:t xml:space="preserve"> 2013 г</w:t>
      </w:r>
      <w:r>
        <w:t>.</w:t>
      </w:r>
      <w:r w:rsidRPr="00D578C2">
        <w:t xml:space="preserve"> - 260 чел</w:t>
      </w:r>
      <w:r>
        <w:t>.</w:t>
      </w:r>
      <w:r w:rsidR="003E192C" w:rsidRPr="003E192C">
        <w:t xml:space="preserve"> </w:t>
      </w:r>
      <w:r w:rsidR="003E192C">
        <w:t>(</w:t>
      </w:r>
      <w:r w:rsidR="003E192C" w:rsidRPr="00D578C2">
        <w:t>в 2012 г</w:t>
      </w:r>
      <w:r w:rsidR="003E192C">
        <w:t xml:space="preserve">. - </w:t>
      </w:r>
      <w:r w:rsidR="003E192C" w:rsidRPr="00D578C2">
        <w:t>269 чел</w:t>
      </w:r>
      <w:r w:rsidR="003E192C">
        <w:t>.</w:t>
      </w:r>
      <w:r w:rsidR="003E192C" w:rsidRPr="00D578C2">
        <w:t>)</w:t>
      </w:r>
      <w:r w:rsidRPr="00D578C2">
        <w:t>, в т</w:t>
      </w:r>
      <w:r>
        <w:t>.ч.</w:t>
      </w:r>
      <w:r w:rsidRPr="00D578C2">
        <w:t xml:space="preserve"> внешние совместители  37 чел.</w:t>
      </w:r>
      <w:r>
        <w:t xml:space="preserve"> </w:t>
      </w:r>
      <w:r w:rsidR="003E192C">
        <w:t xml:space="preserve">- </w:t>
      </w:r>
      <w:r w:rsidRPr="00D578C2">
        <w:t>снижение составило 3,3%, за счет оптимизации штатных единиц, закрытия двух</w:t>
      </w:r>
      <w:r w:rsidRPr="00867870">
        <w:t xml:space="preserve"> музыкальных школ по поселкам. </w:t>
      </w:r>
    </w:p>
    <w:p w:rsidR="00C061C7" w:rsidRDefault="00C061C7" w:rsidP="00C061C7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D03226">
        <w:rPr>
          <w:rFonts w:ascii="Times New Roman" w:hAnsi="Times New Roman"/>
          <w:sz w:val="24"/>
          <w:szCs w:val="24"/>
        </w:rPr>
        <w:t>Фонд заработной платы работников  сферы культуры  в 2013 г</w:t>
      </w:r>
      <w:r>
        <w:rPr>
          <w:rFonts w:ascii="Times New Roman" w:hAnsi="Times New Roman"/>
          <w:sz w:val="24"/>
          <w:szCs w:val="24"/>
        </w:rPr>
        <w:t>. составил 69 млн. руб.</w:t>
      </w:r>
      <w:r w:rsidRPr="00D03226">
        <w:rPr>
          <w:rFonts w:ascii="Times New Roman" w:hAnsi="Times New Roman"/>
          <w:sz w:val="24"/>
          <w:szCs w:val="24"/>
        </w:rPr>
        <w:t xml:space="preserve">  (84%) бюджета культуры, средняя заработная плата на 31.12.201</w:t>
      </w:r>
      <w:r w:rsidR="003E192C">
        <w:rPr>
          <w:rFonts w:ascii="Times New Roman" w:hAnsi="Times New Roman"/>
          <w:sz w:val="24"/>
          <w:szCs w:val="24"/>
        </w:rPr>
        <w:t>3</w:t>
      </w:r>
      <w:r w:rsidRPr="00D03226">
        <w:rPr>
          <w:rFonts w:ascii="Times New Roman" w:hAnsi="Times New Roman"/>
          <w:sz w:val="24"/>
          <w:szCs w:val="24"/>
        </w:rPr>
        <w:t xml:space="preserve"> г. составляет 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2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D03226">
        <w:rPr>
          <w:rFonts w:ascii="Times New Roman" w:hAnsi="Times New Roman"/>
          <w:sz w:val="24"/>
          <w:szCs w:val="24"/>
        </w:rPr>
        <w:t xml:space="preserve"> руб., </w:t>
      </w:r>
      <w:r w:rsidRPr="00D03226">
        <w:rPr>
          <w:rFonts w:ascii="Times New Roman" w:hAnsi="Times New Roman"/>
          <w:sz w:val="24"/>
          <w:szCs w:val="24"/>
        </w:rPr>
        <w:lastRenderedPageBreak/>
        <w:t xml:space="preserve">рост средней заработной платы в сравнении к </w:t>
      </w:r>
      <w:r>
        <w:rPr>
          <w:rFonts w:ascii="Times New Roman" w:hAnsi="Times New Roman"/>
          <w:sz w:val="24"/>
          <w:szCs w:val="24"/>
        </w:rPr>
        <w:t>01.01.</w:t>
      </w:r>
      <w:r w:rsidRPr="00D03226">
        <w:rPr>
          <w:rFonts w:ascii="Times New Roman" w:hAnsi="Times New Roman"/>
          <w:sz w:val="24"/>
          <w:szCs w:val="24"/>
        </w:rPr>
        <w:t xml:space="preserve">2013 г. </w:t>
      </w:r>
      <w:r>
        <w:rPr>
          <w:rFonts w:ascii="Times New Roman" w:hAnsi="Times New Roman"/>
          <w:sz w:val="24"/>
          <w:szCs w:val="24"/>
        </w:rPr>
        <w:t xml:space="preserve">составил 35,5% </w:t>
      </w:r>
      <w:r w:rsidRPr="00D032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2012 г. – </w:t>
      </w:r>
      <w:r w:rsidRPr="00D03226">
        <w:rPr>
          <w:rFonts w:ascii="Times New Roman" w:hAnsi="Times New Roman"/>
          <w:sz w:val="24"/>
          <w:szCs w:val="24"/>
        </w:rPr>
        <w:t>16300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226">
        <w:rPr>
          <w:rFonts w:ascii="Times New Roman" w:hAnsi="Times New Roman"/>
          <w:sz w:val="24"/>
          <w:szCs w:val="24"/>
        </w:rPr>
        <w:t>руб.)</w:t>
      </w:r>
      <w:r>
        <w:rPr>
          <w:rFonts w:ascii="Times New Roman" w:hAnsi="Times New Roman"/>
          <w:sz w:val="24"/>
          <w:szCs w:val="24"/>
        </w:rPr>
        <w:t>.</w:t>
      </w:r>
    </w:p>
    <w:p w:rsidR="00C061C7" w:rsidRPr="00867870" w:rsidRDefault="00C061C7" w:rsidP="00C061C7">
      <w:pPr>
        <w:ind w:firstLine="708"/>
        <w:jc w:val="both"/>
      </w:pPr>
      <w:r w:rsidRPr="00867870">
        <w:t>В 2013 г</w:t>
      </w:r>
      <w:r>
        <w:t>.</w:t>
      </w:r>
      <w:r w:rsidRPr="00867870">
        <w:t xml:space="preserve"> все учреждения культуры г. Бодайбо и района работали в условиях новой системы оплаты труда.</w:t>
      </w:r>
    </w:p>
    <w:p w:rsidR="00C061C7" w:rsidRPr="00867870" w:rsidRDefault="00C061C7" w:rsidP="00C061C7">
      <w:pPr>
        <w:ind w:firstLine="709"/>
        <w:jc w:val="both"/>
      </w:pPr>
      <w:r w:rsidRPr="00F04DA4">
        <w:t xml:space="preserve">В 2013 г. </w:t>
      </w:r>
      <w:r>
        <w:t>в соответствии с п</w:t>
      </w:r>
      <w:r w:rsidRPr="00F04DA4">
        <w:t>остановлени</w:t>
      </w:r>
      <w:r>
        <w:t>ем</w:t>
      </w:r>
      <w:r w:rsidRPr="00F04DA4">
        <w:t xml:space="preserve"> администрации</w:t>
      </w:r>
      <w:r w:rsidRPr="00867870">
        <w:t xml:space="preserve"> г.Бодайбо и района от 07.05.2013г № 282-п </w:t>
      </w:r>
      <w:r>
        <w:t>«</w:t>
      </w:r>
      <w:r w:rsidRPr="00867870">
        <w:t xml:space="preserve">О внесении изменений и дополнений в постановление администрации г.Бодайбо и района от 06.05.2013 г. № 189–п </w:t>
      </w:r>
      <w:r>
        <w:t>«</w:t>
      </w:r>
      <w:r w:rsidRPr="00867870">
        <w:t>Об утверждении Примерного положения о новой отраслевой системы оплаты труда работников муниципальных учреждений культуры муниципального образования г.Бодайбо и района</w:t>
      </w:r>
      <w:r>
        <w:t xml:space="preserve">», </w:t>
      </w:r>
      <w:r w:rsidRPr="00F04DA4">
        <w:t>постановлени</w:t>
      </w:r>
      <w:r>
        <w:t>ем</w:t>
      </w:r>
      <w:r w:rsidRPr="00F04DA4">
        <w:t xml:space="preserve"> администрации</w:t>
      </w:r>
      <w:r w:rsidRPr="00867870">
        <w:t xml:space="preserve"> г.Бодайбо и района от 28.05.2013 г. № 317–п «Об утверждении  отраслевого плана  мероприятий  («дорожной карта»)», направленн</w:t>
      </w:r>
      <w:r>
        <w:t>ых</w:t>
      </w:r>
      <w:r w:rsidRPr="00867870">
        <w:t xml:space="preserve"> на повышение эффективности сферы культуры г.Бодайбо и района</w:t>
      </w:r>
      <w:r>
        <w:t>,</w:t>
      </w:r>
      <w:r w:rsidRPr="00867870">
        <w:t xml:space="preserve"> </w:t>
      </w:r>
      <w:r w:rsidRPr="00F04DA4">
        <w:t>90</w:t>
      </w:r>
      <w:r w:rsidRPr="00867870">
        <w:t xml:space="preserve"> работников учреждений культуры  были переведены на «эффективные контракты». С </w:t>
      </w:r>
      <w:r>
        <w:t>01.01.2</w:t>
      </w:r>
      <w:r w:rsidRPr="00867870">
        <w:t xml:space="preserve">014 г. с </w:t>
      </w:r>
      <w:r w:rsidRPr="00F04DA4">
        <w:t>4 руководителями</w:t>
      </w:r>
      <w:r w:rsidRPr="00867870">
        <w:t xml:space="preserve"> учреждений культуры заключены трудовые договора в новой форме.</w:t>
      </w:r>
    </w:p>
    <w:p w:rsidR="00C061C7" w:rsidRPr="00867870" w:rsidRDefault="00C061C7" w:rsidP="00C061C7">
      <w:pPr>
        <w:ind w:firstLine="709"/>
        <w:jc w:val="both"/>
      </w:pPr>
      <w:r>
        <w:t xml:space="preserve">  </w:t>
      </w:r>
      <w:r w:rsidRPr="00867870">
        <w:t xml:space="preserve">Вместе с тем выполнение </w:t>
      </w:r>
      <w:r>
        <w:t>У</w:t>
      </w:r>
      <w:r w:rsidRPr="00867870">
        <w:t>каза Президента РФ от 07</w:t>
      </w:r>
      <w:r>
        <w:t>.05.</w:t>
      </w:r>
      <w:r w:rsidRPr="00867870">
        <w:t>2012 г</w:t>
      </w:r>
      <w:r>
        <w:t>.</w:t>
      </w:r>
      <w:r w:rsidRPr="00867870">
        <w:t xml:space="preserve"> № 597 «О мероприятиях по реализации государственной социальной политики»</w:t>
      </w:r>
      <w:r>
        <w:t xml:space="preserve"> </w:t>
      </w:r>
      <w:r w:rsidRPr="00867870">
        <w:t xml:space="preserve">сопряжено </w:t>
      </w:r>
      <w:r w:rsidRPr="00867870">
        <w:rPr>
          <w:b/>
        </w:rPr>
        <w:t xml:space="preserve">с </w:t>
      </w:r>
      <w:r w:rsidRPr="00F04DA4">
        <w:t>серьезными проблемами.</w:t>
      </w:r>
      <w:r w:rsidRPr="00867870">
        <w:t xml:space="preserve"> Для </w:t>
      </w:r>
      <w:r>
        <w:t>МО</w:t>
      </w:r>
      <w:r w:rsidRPr="00867870">
        <w:t xml:space="preserve"> г. Бодайбо и района субсидии на софинансирование расходных обязательств по выплате заработной платы работникам учреждений культуры в 2013 г</w:t>
      </w:r>
      <w:r>
        <w:t>.</w:t>
      </w:r>
      <w:r w:rsidRPr="00867870">
        <w:t xml:space="preserve"> из областного бюджета </w:t>
      </w:r>
      <w:r>
        <w:t xml:space="preserve">не было </w:t>
      </w:r>
      <w:r w:rsidRPr="00867870">
        <w:t>выделено</w:t>
      </w:r>
      <w:r>
        <w:t>,</w:t>
      </w:r>
      <w:r w:rsidRPr="00867870">
        <w:t xml:space="preserve"> т.к. все учреждения культуры находятся</w:t>
      </w:r>
      <w:r w:rsidR="003E192C">
        <w:t xml:space="preserve"> в муниципальной собственности</w:t>
      </w:r>
      <w:r w:rsidRPr="00867870">
        <w:t xml:space="preserve"> </w:t>
      </w:r>
      <w:r>
        <w:t>МО</w:t>
      </w:r>
      <w:r w:rsidRPr="00867870">
        <w:t xml:space="preserve"> г.</w:t>
      </w:r>
      <w:r>
        <w:t xml:space="preserve"> </w:t>
      </w:r>
      <w:r w:rsidRPr="00867870">
        <w:t xml:space="preserve">Бодайбо и района, а получателями субсидии согласно </w:t>
      </w:r>
      <w:r>
        <w:t>ФЗ № 131-</w:t>
      </w:r>
      <w:r w:rsidRPr="00867870">
        <w:t xml:space="preserve">ФЗ могут быть только поселения и городские округа. Все средства, необходимые для повышения заработной платы работникам учреждений культуры,  администрация района изыскивала в </w:t>
      </w:r>
      <w:r>
        <w:t xml:space="preserve">местном </w:t>
      </w:r>
      <w:r w:rsidRPr="00867870">
        <w:t>бюджете, путем перераспределения внутренних финансовых резервов. В  2014</w:t>
      </w:r>
      <w:r w:rsidR="003E192C">
        <w:t>году</w:t>
      </w:r>
      <w:r w:rsidRPr="00867870">
        <w:t xml:space="preserve"> мероприятия по повышению заработной платы будут продолжены</w:t>
      </w:r>
      <w:r w:rsidR="003E192C">
        <w:t>. О</w:t>
      </w:r>
      <w:r w:rsidRPr="00867870">
        <w:t>сновная задача администрации и управления культуры на сегодняшний день</w:t>
      </w:r>
      <w:r w:rsidR="003E192C">
        <w:t xml:space="preserve"> изыскать резервы на выполнение Указа и муниципальных правовых актов в сфере культуры.</w:t>
      </w:r>
    </w:p>
    <w:p w:rsidR="00C061C7" w:rsidRPr="00867870" w:rsidRDefault="00C061C7" w:rsidP="00C061C7">
      <w:pPr>
        <w:jc w:val="both"/>
      </w:pPr>
      <w:r w:rsidRPr="00867870">
        <w:tab/>
        <w:t>В рамках исполнения Указа Президента РФ от 07</w:t>
      </w:r>
      <w:r>
        <w:t>.05.2</w:t>
      </w:r>
      <w:r w:rsidRPr="00867870">
        <w:t>012 г</w:t>
      </w:r>
      <w:r>
        <w:t>.</w:t>
      </w:r>
      <w:r w:rsidRPr="00867870">
        <w:t xml:space="preserve"> № 597  были приведены в соответствие штатные расписания всех учреждений культуры</w:t>
      </w:r>
      <w:r>
        <w:t>, в результате этого:</w:t>
      </w:r>
    </w:p>
    <w:p w:rsidR="00C061C7" w:rsidRPr="00867870" w:rsidRDefault="00C061C7" w:rsidP="00C061C7">
      <w:pPr>
        <w:ind w:firstLine="708"/>
        <w:jc w:val="both"/>
      </w:pPr>
      <w:r w:rsidRPr="00867870">
        <w:t>-   по культурно–досуговым учреждениям выведено из штатного расписания 4,5 ед</w:t>
      </w:r>
      <w:r>
        <w:t>.</w:t>
      </w:r>
      <w:r w:rsidRPr="00867870">
        <w:t>;</w:t>
      </w:r>
    </w:p>
    <w:p w:rsidR="00C061C7" w:rsidRPr="00867870" w:rsidRDefault="00C061C7" w:rsidP="00C061C7">
      <w:pPr>
        <w:ind w:firstLine="708"/>
        <w:jc w:val="both"/>
      </w:pPr>
      <w:r w:rsidRPr="00867870">
        <w:t>-  по музыкальным школам сокращены 7 должностей технического персонала; хочется отметить, что при этом не пострадали люди, все сокращенные имеют основное место работы или являются пенсионерами</w:t>
      </w:r>
      <w:r w:rsidR="003E192C">
        <w:t>.</w:t>
      </w:r>
    </w:p>
    <w:p w:rsidR="00C061C7" w:rsidRDefault="00C061C7" w:rsidP="00C061C7">
      <w:pPr>
        <w:ind w:firstLine="709"/>
        <w:jc w:val="both"/>
      </w:pPr>
      <w:r>
        <w:t>А</w:t>
      </w:r>
      <w:r w:rsidRPr="00685A96">
        <w:t>нализ средств</w:t>
      </w:r>
      <w:r>
        <w:t xml:space="preserve">, </w:t>
      </w:r>
      <w:r w:rsidRPr="00685A96">
        <w:t>внесенных</w:t>
      </w:r>
      <w:r>
        <w:t xml:space="preserve"> </w:t>
      </w:r>
      <w:r w:rsidRPr="00685A96">
        <w:t xml:space="preserve">в бюджет </w:t>
      </w:r>
      <w:r>
        <w:t xml:space="preserve">МО г. Бодайбо и района </w:t>
      </w:r>
      <w:r w:rsidRPr="00685A96">
        <w:t>от приносящей доход деятельности</w:t>
      </w:r>
      <w:r>
        <w:t xml:space="preserve">, показал, что в </w:t>
      </w:r>
      <w:r w:rsidRPr="00685A96">
        <w:t>2013 г. эт</w:t>
      </w:r>
      <w:r>
        <w:t>от</w:t>
      </w:r>
      <w:r w:rsidRPr="00685A96">
        <w:t xml:space="preserve"> показател</w:t>
      </w:r>
      <w:r>
        <w:t>ь</w:t>
      </w:r>
      <w:r w:rsidRPr="00685A96">
        <w:t xml:space="preserve"> выполнен на 97,3% от запланированного, недовыполнение составило 2,7%.  Причины слабого роста доходов: низкая платежеспособность большей части населения Бодайбинского района, особенно</w:t>
      </w:r>
      <w:r>
        <w:t>, проживающих в</w:t>
      </w:r>
      <w:r w:rsidRPr="00685A96">
        <w:t xml:space="preserve"> поселк</w:t>
      </w:r>
      <w:r>
        <w:t>ах</w:t>
      </w:r>
      <w:r w:rsidRPr="00685A96">
        <w:t xml:space="preserve">,  слабая материальная база ряда учреждений культуры.  </w:t>
      </w:r>
    </w:p>
    <w:p w:rsidR="002B5779" w:rsidRDefault="002B5779" w:rsidP="00C061C7">
      <w:pPr>
        <w:ind w:firstLine="709"/>
        <w:jc w:val="both"/>
      </w:pPr>
    </w:p>
    <w:p w:rsidR="002B5779" w:rsidRPr="00581578" w:rsidRDefault="002B5779" w:rsidP="002B5779">
      <w:pPr>
        <w:jc w:val="center"/>
        <w:rPr>
          <w:b/>
        </w:rPr>
      </w:pPr>
      <w:r w:rsidRPr="00581578">
        <w:rPr>
          <w:b/>
        </w:rPr>
        <w:t>Здравоохранение</w:t>
      </w:r>
    </w:p>
    <w:p w:rsidR="002B5779" w:rsidRDefault="002B5779" w:rsidP="002B5779">
      <w:pPr>
        <w:jc w:val="center"/>
      </w:pPr>
    </w:p>
    <w:p w:rsidR="002B5779" w:rsidRDefault="002B5779" w:rsidP="002B5779">
      <w:pPr>
        <w:jc w:val="both"/>
      </w:pPr>
      <w:r>
        <w:rPr>
          <w:b/>
        </w:rPr>
        <w:tab/>
      </w:r>
      <w:r w:rsidRPr="00EE3A52">
        <w:t>Здравоохранение Бодайбинского района представлено ОГБУЗ «Центральная районная больница г. Бодайбо»</w:t>
      </w:r>
      <w:r w:rsidR="003E192C">
        <w:t>.</w:t>
      </w:r>
    </w:p>
    <w:p w:rsidR="002B5779" w:rsidRDefault="002B5779" w:rsidP="002B5779">
      <w:pPr>
        <w:jc w:val="both"/>
      </w:pPr>
      <w:r>
        <w:tab/>
        <w:t>Центральная районная больница в г. Бодайбо является основным учреждением, где оказывается лечебно-диагностическая помощь населению и в состав которой входят:</w:t>
      </w:r>
    </w:p>
    <w:p w:rsidR="002B5779" w:rsidRDefault="002B5779" w:rsidP="002B5779">
      <w:pPr>
        <w:ind w:firstLine="708"/>
        <w:jc w:val="both"/>
      </w:pPr>
      <w:r>
        <w:t>- стационар на 165 круглосуточных коек и 20 дневных коек, отделения: терапевтическое, хирургическое, педиатрическое, инфекционно, фтизиатрическое, психо-наркологическое и др.</w:t>
      </w:r>
    </w:p>
    <w:p w:rsidR="002B5779" w:rsidRDefault="002B5779" w:rsidP="002B5779">
      <w:pPr>
        <w:ind w:firstLine="708"/>
        <w:jc w:val="both"/>
      </w:pPr>
      <w:r>
        <w:t>- две поликлиники: для взрослых и детей;</w:t>
      </w:r>
    </w:p>
    <w:p w:rsidR="002B5779" w:rsidRDefault="002B5779" w:rsidP="002B5779">
      <w:pPr>
        <w:ind w:firstLine="708"/>
        <w:jc w:val="both"/>
      </w:pPr>
      <w:r>
        <w:t>- лечебно-диагностические отделения: рентгенологическое,  клинико-диагностическое, бактериологическое, кабинет ультразвуковой диагностики, эндоскопический кабинет, станция скорой помощи и др.</w:t>
      </w:r>
    </w:p>
    <w:p w:rsidR="002B5779" w:rsidRDefault="002B5779" w:rsidP="002B5779">
      <w:pPr>
        <w:ind w:firstLine="708"/>
        <w:jc w:val="both"/>
      </w:pPr>
      <w:r>
        <w:lastRenderedPageBreak/>
        <w:t>К лечебной сети ЦРБ г. Бодайбо относятся:</w:t>
      </w:r>
    </w:p>
    <w:p w:rsidR="002B5779" w:rsidRDefault="002B5779" w:rsidP="002B5779">
      <w:pPr>
        <w:ind w:firstLine="708"/>
        <w:jc w:val="both"/>
      </w:pPr>
      <w:r>
        <w:t>- городская больница п. Артемовский на 15 коек;</w:t>
      </w:r>
    </w:p>
    <w:p w:rsidR="002B5779" w:rsidRDefault="002B5779" w:rsidP="002B5779">
      <w:pPr>
        <w:ind w:firstLine="708"/>
        <w:jc w:val="both"/>
      </w:pPr>
      <w:r>
        <w:t>- участковая больница п. Перевоз на 10 коек;</w:t>
      </w:r>
    </w:p>
    <w:p w:rsidR="002B5779" w:rsidRDefault="002B5779" w:rsidP="002B5779">
      <w:pPr>
        <w:ind w:firstLine="708"/>
        <w:jc w:val="both"/>
      </w:pPr>
      <w:r>
        <w:t>- амбулатория п. Мамакан на 25 посещений;</w:t>
      </w:r>
    </w:p>
    <w:p w:rsidR="002B5779" w:rsidRDefault="002B5779" w:rsidP="002B5779">
      <w:pPr>
        <w:ind w:firstLine="708"/>
        <w:jc w:val="both"/>
      </w:pPr>
      <w:r>
        <w:t>- амбулатория п. Балахнинский на 37 посещений;</w:t>
      </w:r>
    </w:p>
    <w:p w:rsidR="002B5779" w:rsidRDefault="002B5779" w:rsidP="002B5779">
      <w:pPr>
        <w:ind w:firstLine="708"/>
        <w:jc w:val="both"/>
      </w:pPr>
      <w:r>
        <w:t>- амбулатория п. Кропоткин на 44 посещения;</w:t>
      </w:r>
    </w:p>
    <w:p w:rsidR="002B5779" w:rsidRDefault="002B5779" w:rsidP="002B5779">
      <w:pPr>
        <w:ind w:firstLine="708"/>
        <w:jc w:val="both"/>
      </w:pPr>
      <w:r>
        <w:t>- ФАП п. Васильевский;</w:t>
      </w:r>
    </w:p>
    <w:p w:rsidR="002B5779" w:rsidRDefault="002B5779" w:rsidP="002B5779">
      <w:pPr>
        <w:ind w:firstLine="708"/>
        <w:jc w:val="both"/>
      </w:pPr>
      <w:r>
        <w:t>- ФАП п. Маракан.</w:t>
      </w:r>
    </w:p>
    <w:p w:rsidR="002B5779" w:rsidRDefault="002B5779" w:rsidP="002B5779">
      <w:pPr>
        <w:ind w:firstLine="708"/>
        <w:jc w:val="both"/>
      </w:pPr>
      <w:r>
        <w:t>Обеспеченность врачами  на 10 </w:t>
      </w:r>
      <w:r w:rsidR="00581578">
        <w:t>тыс.</w:t>
      </w:r>
      <w:r>
        <w:t>чел. населения составляет 20,3 чел. при плане 41,8 чел. При этом не увеличивается смертность от всех причин, нет материнской смертности, значительно снижена младенческая смертность, смертность от дорожно-транспортных происшествий, от туберкулеза.</w:t>
      </w:r>
    </w:p>
    <w:p w:rsidR="002B5779" w:rsidRDefault="002B5779" w:rsidP="002B5779">
      <w:pPr>
        <w:ind w:firstLine="708"/>
        <w:jc w:val="both"/>
      </w:pPr>
      <w:r w:rsidRPr="00EE3A52">
        <w:t>Все муниципальные учреждения здравоохранения</w:t>
      </w:r>
      <w:r>
        <w:t xml:space="preserve"> муниципальных образований Иркутской области перешли с 01.01.2013 г. на финансировани</w:t>
      </w:r>
      <w:r w:rsidR="003E192C">
        <w:t>е из областного бюджета.</w:t>
      </w:r>
    </w:p>
    <w:p w:rsidR="002B5779" w:rsidRDefault="002B5779" w:rsidP="002B5779">
      <w:pPr>
        <w:ind w:firstLine="708"/>
        <w:jc w:val="both"/>
      </w:pPr>
      <w:r w:rsidRPr="00CC6C94">
        <w:t xml:space="preserve"> В соответствии с п.п. 2) п.2 ст.7(1) закона Иркутской области 4-оз «Об отдельных вопросах здравоохранения в Иркутской области в 2013 году» органами местного самоуправления муниципальных районов и городских округов создаются условия по организации профессиональной подготовки, переподготовки и повышения квалификации  работников муниципальных учреждений здравоохранения.</w:t>
      </w:r>
      <w:r w:rsidR="003E192C">
        <w:t xml:space="preserve"> </w:t>
      </w:r>
      <w:r w:rsidRPr="00CC6C94">
        <w:t>В</w:t>
      </w:r>
      <w:r w:rsidR="003E192C">
        <w:t>о исполнение Закона администрацией</w:t>
      </w:r>
      <w:r w:rsidRPr="00CC6C94">
        <w:t xml:space="preserve">  </w:t>
      </w:r>
      <w:r>
        <w:t>г. Бодайбо и района</w:t>
      </w:r>
      <w:r w:rsidR="003E192C">
        <w:t>, с учетом возможностей бюджета</w:t>
      </w:r>
      <w:r>
        <w:t xml:space="preserve">, </w:t>
      </w:r>
      <w:r w:rsidRPr="00CC6C94">
        <w:t xml:space="preserve">проведены </w:t>
      </w:r>
      <w:r>
        <w:t xml:space="preserve">следующие </w:t>
      </w:r>
      <w:r w:rsidRPr="00CC6C94">
        <w:t>мероприятия:</w:t>
      </w:r>
    </w:p>
    <w:p w:rsidR="002B5779" w:rsidRDefault="002B5779" w:rsidP="002B577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59"/>
        <w:gridCol w:w="3418"/>
        <w:gridCol w:w="5494"/>
      </w:tblGrid>
      <w:tr w:rsidR="002B5779" w:rsidTr="0058157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779" w:rsidRPr="00581578" w:rsidRDefault="002B5779" w:rsidP="00581578">
            <w:pPr>
              <w:jc w:val="center"/>
            </w:pPr>
            <w:r w:rsidRPr="00581578">
              <w:rPr>
                <w:sz w:val="22"/>
                <w:szCs w:val="22"/>
              </w:rPr>
              <w:t>№№ п/п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779" w:rsidRPr="00581578" w:rsidRDefault="002B5779" w:rsidP="00581578">
            <w:pPr>
              <w:jc w:val="center"/>
            </w:pPr>
            <w:r w:rsidRPr="00581578">
              <w:rPr>
                <w:sz w:val="22"/>
                <w:szCs w:val="22"/>
              </w:rPr>
              <w:t>Создание условий для оказания медицинской помощи населению муниципалитетом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779" w:rsidRPr="00581578" w:rsidRDefault="002B5779" w:rsidP="00581578">
            <w:pPr>
              <w:jc w:val="center"/>
            </w:pPr>
            <w:r w:rsidRPr="00581578">
              <w:rPr>
                <w:sz w:val="22"/>
                <w:szCs w:val="22"/>
              </w:rPr>
              <w:t>Проведенные мероприятия</w:t>
            </w:r>
          </w:p>
        </w:tc>
      </w:tr>
      <w:tr w:rsidR="002B5779" w:rsidRPr="00262A63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81578">
            <w:pPr>
              <w:jc w:val="both"/>
            </w:pPr>
            <w:r w:rsidRPr="00581578">
              <w:rPr>
                <w:sz w:val="22"/>
                <w:szCs w:val="22"/>
              </w:rPr>
              <w:t xml:space="preserve">Организация профессиональной подготовки, переподготовки и повышения квалификации работников здравоохранения в МО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Средства в бюджете МО г. Бодайбо и района на перечисленные цели в 2013 г. не предусматривалось.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2.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Предоставление жилья медицин-ским и  фармацевтическим работникам (выделено квартир)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В 2013 г. выделено 3 комнаты медицинским работникам в общежитии, находящемся в муниципальной собственности, Мамаканское и Балахнинское городские поселения выделили по 1 квартире для медицинских работников.</w:t>
            </w:r>
          </w:p>
          <w:p w:rsidR="002B5779" w:rsidRPr="00581578" w:rsidRDefault="002B5779" w:rsidP="003E192C">
            <w:pPr>
              <w:jc w:val="both"/>
            </w:pPr>
            <w:r w:rsidRPr="00581578">
              <w:rPr>
                <w:sz w:val="22"/>
                <w:szCs w:val="22"/>
              </w:rPr>
              <w:t>В 2013 г. в г. Бодайбо начато строительство 16-ти квартирного жилого дома для работников бюджетной сферы, в котором планируется предоставить квартиры</w:t>
            </w:r>
            <w:r w:rsidR="003E192C">
              <w:rPr>
                <w:sz w:val="22"/>
                <w:szCs w:val="22"/>
              </w:rPr>
              <w:t xml:space="preserve">, в т.ч. </w:t>
            </w:r>
            <w:r w:rsidRPr="00581578">
              <w:rPr>
                <w:sz w:val="22"/>
                <w:szCs w:val="22"/>
              </w:rPr>
              <w:t>работникам здравоохранения.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3.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Обеспечение транспортной доступности учреждений здравоохранения (ремонт дорог,  организация проезда населения к учреждениям здравоохранения)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Транспортная доступность</w:t>
            </w:r>
            <w:r w:rsidR="003E192C">
              <w:rPr>
                <w:sz w:val="22"/>
                <w:szCs w:val="22"/>
              </w:rPr>
              <w:t xml:space="preserve"> до</w:t>
            </w:r>
            <w:r w:rsidRPr="00581578">
              <w:rPr>
                <w:sz w:val="22"/>
                <w:szCs w:val="22"/>
              </w:rPr>
              <w:t xml:space="preserve"> учреждений здраво</w:t>
            </w:r>
            <w:r w:rsidR="003E192C">
              <w:rPr>
                <w:sz w:val="22"/>
                <w:szCs w:val="22"/>
              </w:rPr>
              <w:t>-</w:t>
            </w:r>
            <w:r w:rsidRPr="00581578">
              <w:rPr>
                <w:sz w:val="22"/>
                <w:szCs w:val="22"/>
              </w:rPr>
              <w:t>охранения обеспечивается дорогами городских поселений в границах поселений администрациями поселений, между поселками и г. Бодайбо  дорогами общего пользования, находящимися в областной собственности</w:t>
            </w:r>
          </w:p>
          <w:p w:rsidR="002B5779" w:rsidRPr="00581578" w:rsidRDefault="002B5779" w:rsidP="003E192C">
            <w:pPr>
              <w:jc w:val="both"/>
            </w:pPr>
            <w:r w:rsidRPr="00581578">
              <w:rPr>
                <w:sz w:val="22"/>
                <w:szCs w:val="22"/>
              </w:rPr>
              <w:t xml:space="preserve"> В 2013 г. из бюджета МО г. Бодайбо и района профинансировано 118,6 тыс. руб. на организацию транспортного обслуживания населения между поселениями, что  создало дополнительные условия для населения по доступности медицинских услуг, оказываемых </w:t>
            </w:r>
            <w:r w:rsidR="003E192C">
              <w:rPr>
                <w:sz w:val="22"/>
                <w:szCs w:val="22"/>
              </w:rPr>
              <w:t>в г. Бодайбо</w:t>
            </w:r>
            <w:r w:rsidRPr="00581578">
              <w:rPr>
                <w:sz w:val="22"/>
                <w:szCs w:val="22"/>
              </w:rPr>
              <w:t xml:space="preserve"> ОГБУЗ </w:t>
            </w:r>
            <w:r w:rsidR="003E192C">
              <w:rPr>
                <w:sz w:val="22"/>
                <w:szCs w:val="22"/>
              </w:rPr>
              <w:t>«</w:t>
            </w:r>
            <w:r w:rsidRPr="00581578">
              <w:rPr>
                <w:sz w:val="22"/>
                <w:szCs w:val="22"/>
              </w:rPr>
              <w:t>ЦРБ г. Бодайбо</w:t>
            </w:r>
            <w:r w:rsidR="003E192C">
              <w:rPr>
                <w:sz w:val="22"/>
                <w:szCs w:val="22"/>
              </w:rPr>
              <w:t>»</w:t>
            </w:r>
            <w:r w:rsidRPr="00581578">
              <w:rPr>
                <w:sz w:val="22"/>
                <w:szCs w:val="22"/>
              </w:rPr>
              <w:t xml:space="preserve">. 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4.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Меры социальной поддержки работников учреждений здравоохранения (выплата подъемных и другие выплаты)</w:t>
            </w:r>
          </w:p>
        </w:tc>
        <w:tc>
          <w:tcPr>
            <w:tcW w:w="5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Дефицит бюджета МО г. Бодайбо и района, а также существенная нагрузка по реализации «майских» Указов Президента РФ, связанная с повышением оплаты труда работникам образования, культуры не </w:t>
            </w:r>
            <w:r w:rsidRPr="00581578">
              <w:rPr>
                <w:sz w:val="22"/>
                <w:szCs w:val="22"/>
              </w:rPr>
              <w:lastRenderedPageBreak/>
              <w:t>позволяет предусмотреть средства на дополнительные меры социальной поддержки работникам здравоохранения, реализацию муниципальных программ в области охраны здоровья населения. Кроме этого, согласно комплексу мер по обеспечению системы здравоохранения РФ медицинскими кадрами до 2018г</w:t>
            </w:r>
            <w:r w:rsidR="00581578">
              <w:rPr>
                <w:sz w:val="22"/>
                <w:szCs w:val="22"/>
              </w:rPr>
              <w:t>.</w:t>
            </w:r>
            <w:r w:rsidRPr="00581578">
              <w:rPr>
                <w:sz w:val="22"/>
                <w:szCs w:val="22"/>
              </w:rPr>
              <w:t>, утвержденному распоряжением Правительства РФ от 15.04.2013 г. № 614-р, органы исполнительной власти субъектов РФ</w:t>
            </w:r>
            <w:r w:rsidRPr="00581578">
              <w:rPr>
                <w:b/>
                <w:sz w:val="22"/>
                <w:szCs w:val="22"/>
              </w:rPr>
              <w:t xml:space="preserve"> </w:t>
            </w:r>
            <w:r w:rsidRPr="00581578">
              <w:rPr>
                <w:sz w:val="22"/>
                <w:szCs w:val="22"/>
              </w:rPr>
              <w:t>являются исполнителями мероприятий по разработке и утверждению программ, направленных на повышение квалификации, поэтапное устранение дефицита медицинских кадров, разработку дифференцированных мер социальной поддержки медицинских работников, в первую очередь наиболее дефицитных специальностей.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Вместе с тем, в 2013 г.  администрацией в рамках исполнения собственных полномочий  профинанси</w:t>
            </w:r>
            <w:r w:rsidR="00581578">
              <w:rPr>
                <w:sz w:val="22"/>
                <w:szCs w:val="22"/>
              </w:rPr>
              <w:t>-</w:t>
            </w:r>
            <w:r w:rsidRPr="00581578">
              <w:rPr>
                <w:sz w:val="22"/>
                <w:szCs w:val="22"/>
              </w:rPr>
              <w:t>рован</w:t>
            </w:r>
            <w:r w:rsidR="003E192C">
              <w:rPr>
                <w:sz w:val="22"/>
                <w:szCs w:val="22"/>
              </w:rPr>
              <w:t xml:space="preserve"> </w:t>
            </w:r>
            <w:r w:rsidRPr="00581578">
              <w:rPr>
                <w:sz w:val="22"/>
                <w:szCs w:val="22"/>
              </w:rPr>
              <w:t xml:space="preserve"> ряд программ, направленных на формирование и охрану здоровья населения на сумму 9 429,2 млн. руб., что составило 85,3% от запланированных на реализацию программ денежных средств, в том числе:</w:t>
            </w:r>
          </w:p>
          <w:p w:rsidR="002B5779" w:rsidRPr="00581578" w:rsidRDefault="002B5779" w:rsidP="002B5779">
            <w:pPr>
              <w:pStyle w:val="ac"/>
              <w:keepNext w:val="0"/>
              <w:numPr>
                <w:ilvl w:val="0"/>
                <w:numId w:val="13"/>
              </w:numPr>
              <w:tabs>
                <w:tab w:val="left" w:pos="267"/>
              </w:tabs>
              <w:suppressAutoHyphens w:val="0"/>
              <w:spacing w:before="0" w:after="0"/>
              <w:ind w:left="34" w:firstLine="0"/>
              <w:contextualSpacing/>
              <w:jc w:val="both"/>
            </w:pPr>
            <w:r w:rsidRPr="00581578">
              <w:rPr>
                <w:sz w:val="22"/>
                <w:szCs w:val="22"/>
              </w:rPr>
              <w:t>Программа «Развитие системы образования г. Бодайбо и района на 2013-2015 годы»: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1.1.Подпрограмма  «Здоровье и образование» - укрепление МТБ пищеблоков дошкольных учреждений, обучение специалистов образовательных учреждений по проблеме формирования здорового образа жизни и профилактики применения психоактивных веществ, проведение районных мероприятий для обучающихся, направленных на формирование здорового образа жизни. Объем финансирования составил  1 034,4 тыс. руб. при планируемом финансировании 1035,0 тыс. руб. (99,9%);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1.2. Подпрограмма «Организация оздоровления, отдыха и занятости  детей и подростков Бодайбинского района» - 3 011,4 тыс. руб. при планируемом финансировании 3 289,0 тыс. руб. (91,5%);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2. Программа «Организация и обеспечение отдыха и оздоровления детей на территории МО г. Бодайбо и района на 2013-2014 годы» - 181,0 тыс. руб. при планируемом финансировании 1216,4  тыс. руб. (14,8%);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 3. Программа «Развитие лыжного спорта в МО г. Бодайбо и района на 2012-2013 годы». Завершение реконструкции лыжной базы в г. Бодайбо для создания условий для здорового образа жизни всех возрастов населения, популяризации лыжного спорта. Объем финансирования составил 2 815,8 тыс. руб. при планируемом финансировании 2 892,0 тыс. руб. (97,4%);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4. Программа «Строительство многофункциональной спортивной площадки с искусственным покрытием в г. Бодайбо на 2013-2014 годы» - обустройство многофункциональной спортивной площадки для создания благоприятных условий для увеличения охвата населения спортом, физической культурой по </w:t>
            </w:r>
            <w:r w:rsidRPr="00581578">
              <w:rPr>
                <w:sz w:val="22"/>
                <w:szCs w:val="22"/>
              </w:rPr>
              <w:lastRenderedPageBreak/>
              <w:t>отдельным видам спорта, формирования и пропаганды здорового образа жизни, потребности в занятиях физической культурой и спортом. Объем финансирования составил 996,8 тыс. руб. при планируемом финансировании 2 892,0 тыс. руб. (100%).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CC6C94" w:rsidRDefault="002B5779" w:rsidP="00593B2D">
            <w:pPr>
              <w:jc w:val="center"/>
            </w:pPr>
            <w:r w:rsidRPr="00CC6C94">
              <w:lastRenderedPageBreak/>
              <w:t>5.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Наличие муниципальных целевых программ в области и охраны здоровья населения</w:t>
            </w:r>
          </w:p>
        </w:tc>
        <w:tc>
          <w:tcPr>
            <w:tcW w:w="5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779" w:rsidRPr="00CC6C94" w:rsidRDefault="002B5779" w:rsidP="00593B2D"/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Проведение профессиональной ориентации среди молодежи в целях привлечения медицинских кадров в учреждения здравоохранения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CC6C94" w:rsidRDefault="002B5779" w:rsidP="00593B2D">
            <w:pPr>
              <w:jc w:val="both"/>
            </w:pPr>
            <w:r w:rsidRPr="00CC6C94">
              <w:t>Силами Управления образования, ОГБУЗ ЦРБ г. Бодайбо, теротдела Роспотребнадзора  проводится профессиональная ориентационная работа среди учащихся щкол района,  организуются встречи с медицинскими работниками. На базе станции юных натуралистов работает кружок медицинской направленности «Окружающая среда и человек».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7.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1A2142">
            <w:pPr>
              <w:jc w:val="both"/>
            </w:pPr>
            <w:r w:rsidRPr="00581578">
              <w:rPr>
                <w:sz w:val="22"/>
                <w:szCs w:val="22"/>
              </w:rPr>
              <w:t>Организация благоустройства территорий, при</w:t>
            </w:r>
            <w:r w:rsidR="001A2142">
              <w:rPr>
                <w:sz w:val="22"/>
                <w:szCs w:val="22"/>
              </w:rPr>
              <w:t>легающих</w:t>
            </w:r>
            <w:r w:rsidRPr="00581578">
              <w:rPr>
                <w:sz w:val="22"/>
                <w:szCs w:val="22"/>
              </w:rPr>
              <w:t xml:space="preserve"> к медицинским организациям</w:t>
            </w:r>
          </w:p>
        </w:tc>
        <w:tc>
          <w:tcPr>
            <w:tcW w:w="5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Территории учреждений ОГБУЗ </w:t>
            </w:r>
            <w:r w:rsidR="001A2142">
              <w:rPr>
                <w:sz w:val="22"/>
                <w:szCs w:val="22"/>
              </w:rPr>
              <w:t>«</w:t>
            </w:r>
            <w:r w:rsidRPr="00581578">
              <w:rPr>
                <w:sz w:val="22"/>
                <w:szCs w:val="22"/>
              </w:rPr>
              <w:t>ЦРБ г. Бодайбо</w:t>
            </w:r>
            <w:r w:rsidR="001A2142">
              <w:rPr>
                <w:sz w:val="22"/>
                <w:szCs w:val="22"/>
              </w:rPr>
              <w:t>»</w:t>
            </w:r>
            <w:r w:rsidRPr="00581578">
              <w:rPr>
                <w:sz w:val="22"/>
                <w:szCs w:val="22"/>
              </w:rPr>
              <w:t xml:space="preserve"> благоустроенны, подъездные пути находятся в надлежащем техническом состоянии.</w:t>
            </w:r>
          </w:p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Дополнительные работы по благоустройству территорий и подъездных путей в 2013 г. за счет </w:t>
            </w:r>
            <w:r w:rsidR="001A2142">
              <w:rPr>
                <w:sz w:val="22"/>
                <w:szCs w:val="22"/>
              </w:rPr>
              <w:t xml:space="preserve">бюджета </w:t>
            </w:r>
            <w:r w:rsidRPr="00581578">
              <w:rPr>
                <w:sz w:val="22"/>
                <w:szCs w:val="22"/>
              </w:rPr>
              <w:t xml:space="preserve">МО </w:t>
            </w:r>
            <w:r w:rsidR="001A2142">
              <w:rPr>
                <w:sz w:val="22"/>
                <w:szCs w:val="22"/>
              </w:rPr>
              <w:t xml:space="preserve">г. Бодайбо и района </w:t>
            </w:r>
            <w:r w:rsidRPr="00581578">
              <w:rPr>
                <w:sz w:val="22"/>
                <w:szCs w:val="22"/>
              </w:rPr>
              <w:t>не планировались и не выполнялись.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center"/>
            </w:pPr>
            <w:r w:rsidRPr="00581578">
              <w:rPr>
                <w:sz w:val="22"/>
                <w:szCs w:val="22"/>
              </w:rPr>
              <w:t>8.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Поддерживание подъездных путей к медицинским организа-циям в надлежащем - состоянии, в т.ч. ремонт и содержание дорог</w:t>
            </w:r>
          </w:p>
        </w:tc>
        <w:tc>
          <w:tcPr>
            <w:tcW w:w="5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779" w:rsidRPr="00581578" w:rsidRDefault="002B5779" w:rsidP="00593B2D"/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CC6C94" w:rsidRDefault="002B5779" w:rsidP="00593B2D">
            <w:pPr>
              <w:jc w:val="center"/>
            </w:pPr>
            <w:r w:rsidRPr="00CC6C94">
              <w:t>9.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81578">
            <w:pPr>
              <w:jc w:val="both"/>
            </w:pPr>
            <w:r w:rsidRPr="00581578">
              <w:rPr>
                <w:sz w:val="22"/>
                <w:szCs w:val="22"/>
              </w:rPr>
              <w:t xml:space="preserve">Безвозмездное предоставление медицинским организациям имущества, </w:t>
            </w:r>
            <w:r w:rsidR="00581578">
              <w:rPr>
                <w:sz w:val="22"/>
                <w:szCs w:val="22"/>
              </w:rPr>
              <w:t>находяще</w:t>
            </w:r>
            <w:r w:rsidRPr="00581578">
              <w:rPr>
                <w:sz w:val="22"/>
                <w:szCs w:val="22"/>
              </w:rPr>
              <w:t xml:space="preserve">гося в муниципальной собственности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 xml:space="preserve">В 2013 году имущество, находящееся в муниципальной собственности  ОГБУЗ </w:t>
            </w:r>
            <w:r w:rsidR="001A2142">
              <w:rPr>
                <w:sz w:val="22"/>
                <w:szCs w:val="22"/>
              </w:rPr>
              <w:t>«</w:t>
            </w:r>
            <w:r w:rsidRPr="00581578">
              <w:rPr>
                <w:sz w:val="22"/>
                <w:szCs w:val="22"/>
              </w:rPr>
              <w:t>ЦРБ г.Бодайбо</w:t>
            </w:r>
            <w:r w:rsidR="001A2142">
              <w:rPr>
                <w:sz w:val="22"/>
                <w:szCs w:val="22"/>
              </w:rPr>
              <w:t>»</w:t>
            </w:r>
            <w:r w:rsidRPr="00581578">
              <w:rPr>
                <w:sz w:val="22"/>
                <w:szCs w:val="22"/>
              </w:rPr>
              <w:t xml:space="preserve"> не передавалось.</w:t>
            </w:r>
            <w:r w:rsidR="001A2142">
              <w:rPr>
                <w:sz w:val="22"/>
                <w:szCs w:val="22"/>
              </w:rPr>
              <w:t xml:space="preserve"> Передача осуществлена в 2012  году.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CC6C94" w:rsidRDefault="002B5779" w:rsidP="00593B2D">
            <w:pPr>
              <w:jc w:val="center"/>
            </w:pPr>
            <w:r w:rsidRPr="00CC6C94">
              <w:t>10.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Проведение информационно -разъяснительной работы среди населения по вопросам меди-цинской и лекарственной помо-щи, санитарно-противоэпидеми-ческих мер, защиты прав пациентов, иным вопросам в сфере охраны здоровья граждан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Информационно-разъяснительная работа проводится в СМИ путем размещения материалов медработников и специалистов Роспотребнадзора  в газете «Ленский шахтер», тематических выступлений  на каналах районных организаций телерадиовещания.</w:t>
            </w:r>
          </w:p>
        </w:tc>
      </w:tr>
      <w:tr w:rsidR="002B5779" w:rsidTr="00593B2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CC6C94" w:rsidRDefault="002B5779" w:rsidP="00593B2D">
            <w:pPr>
              <w:jc w:val="center"/>
            </w:pPr>
            <w:r w:rsidRPr="00CC6C94">
              <w:t>11.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jc w:val="both"/>
            </w:pPr>
            <w:r w:rsidRPr="00581578">
              <w:rPr>
                <w:sz w:val="22"/>
                <w:szCs w:val="22"/>
              </w:rPr>
              <w:t>Организация взаимодействия организаций всех форм собственности с медицинскими организациями по вопросам проведения периодических и плановых медицинских осмотров, вакцинации и иных профилактических мероприятий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79" w:rsidRPr="00581578" w:rsidRDefault="002B5779" w:rsidP="00593B2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1578">
              <w:rPr>
                <w:rFonts w:ascii="Times New Roman" w:hAnsi="Times New Roman" w:cs="Times New Roman"/>
                <w:b w:val="0"/>
                <w:lang w:eastAsia="en-US"/>
              </w:rPr>
              <w:t>Охват периодическими медицинскими осмотрами работающих во вредных и (или) опасных производственных  факторов, при наличии которых проводятся обязательные предварительные и периодические медицинские осмотры (обследования) по  району  в 2012 г. составил 99,6%, при среднеобластном 95,1%, охват периодическими медицинскими осмотрами работающих, подпадаю-щими под перечень работ, при выполнении которых проводятся обязательные предварительные и периодические медицинские осмотры (обследования) в 2012 г. составил 100%.</w:t>
            </w:r>
          </w:p>
          <w:p w:rsidR="002B5779" w:rsidRPr="00581578" w:rsidRDefault="002B5779" w:rsidP="00593B2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81578">
              <w:rPr>
                <w:rFonts w:ascii="Times New Roman" w:hAnsi="Times New Roman" w:cs="Times New Roman"/>
                <w:b w:val="0"/>
                <w:lang w:eastAsia="en-US"/>
              </w:rPr>
              <w:t xml:space="preserve"> В 2013 г. вопрос организации взаимодействия организаций всех форм собственности с ОГБУЗ </w:t>
            </w:r>
            <w:r w:rsidR="001A2142">
              <w:rPr>
                <w:rFonts w:ascii="Times New Roman" w:hAnsi="Times New Roman" w:cs="Times New Roman"/>
                <w:b w:val="0"/>
                <w:lang w:eastAsia="en-US"/>
              </w:rPr>
              <w:t>«</w:t>
            </w:r>
            <w:r w:rsidRPr="00581578">
              <w:rPr>
                <w:rFonts w:ascii="Times New Roman" w:hAnsi="Times New Roman" w:cs="Times New Roman"/>
                <w:b w:val="0"/>
                <w:lang w:eastAsia="en-US"/>
              </w:rPr>
              <w:t>ЦРБ г. Бодайбо</w:t>
            </w:r>
            <w:r w:rsidR="001A2142">
              <w:rPr>
                <w:rFonts w:ascii="Times New Roman" w:hAnsi="Times New Roman" w:cs="Times New Roman"/>
                <w:b w:val="0"/>
                <w:lang w:eastAsia="en-US"/>
              </w:rPr>
              <w:t>»</w:t>
            </w:r>
            <w:r w:rsidRPr="00581578">
              <w:rPr>
                <w:rFonts w:ascii="Times New Roman" w:hAnsi="Times New Roman" w:cs="Times New Roman"/>
                <w:b w:val="0"/>
                <w:lang w:eastAsia="en-US"/>
              </w:rPr>
              <w:t xml:space="preserve"> по вопросам проведения периодических и плановых медицинских осмотров, вакцинации и иных профилактических мероприятий заинтересованными участниками не инициировался.</w:t>
            </w:r>
          </w:p>
        </w:tc>
      </w:tr>
    </w:tbl>
    <w:p w:rsidR="002B5779" w:rsidRDefault="002B5779" w:rsidP="002B5779">
      <w:pPr>
        <w:jc w:val="center"/>
        <w:rPr>
          <w:sz w:val="20"/>
          <w:szCs w:val="20"/>
        </w:rPr>
      </w:pPr>
    </w:p>
    <w:p w:rsidR="002B5779" w:rsidRPr="00035364" w:rsidRDefault="002B5779" w:rsidP="002B5779">
      <w:pPr>
        <w:jc w:val="both"/>
      </w:pPr>
      <w:r>
        <w:rPr>
          <w:sz w:val="20"/>
          <w:szCs w:val="20"/>
        </w:rPr>
        <w:tab/>
      </w:r>
      <w:r w:rsidRPr="00035364">
        <w:t>Кроме того, за счет средств социально-экономического партнерства между администрацией г. Бодайбо и хозяйствующими субъектами района для нужд ОГБУЗ ЦРБ г. Бодайбо и района  и населения района в 2013 г</w:t>
      </w:r>
      <w:r>
        <w:t>.</w:t>
      </w:r>
      <w:r w:rsidRPr="00035364">
        <w:t xml:space="preserve"> оплачены мероприятия в сумме 3,4 млн. руб., в т.ч.:</w:t>
      </w:r>
    </w:p>
    <w:p w:rsidR="002B5779" w:rsidRPr="00035364" w:rsidRDefault="002B5779" w:rsidP="002B5779">
      <w:pPr>
        <w:jc w:val="both"/>
      </w:pPr>
      <w:r w:rsidRPr="00035364">
        <w:lastRenderedPageBreak/>
        <w:tab/>
        <w:t>-1,0 млн. руб. за разработку проектно-сметной документации на строительство Артемовской больницы, сгоревшей весной 2013 года;</w:t>
      </w:r>
    </w:p>
    <w:p w:rsidR="002B5779" w:rsidRPr="00035364" w:rsidRDefault="002B5779" w:rsidP="002B5779">
      <w:pPr>
        <w:jc w:val="both"/>
      </w:pPr>
      <w:r w:rsidRPr="00035364">
        <w:tab/>
        <w:t>- 0,4 млн. руб. оплачено за ремонт кабинета и приобретение стоматологического оборудования для амбулатории п. Кропоткин;</w:t>
      </w:r>
    </w:p>
    <w:p w:rsidR="002B5779" w:rsidRPr="00035364" w:rsidRDefault="002B5779" w:rsidP="002B5779">
      <w:pPr>
        <w:jc w:val="both"/>
      </w:pPr>
      <w:r w:rsidRPr="00035364">
        <w:tab/>
        <w:t>- 0,7 млн. руб. оплачено за ремонт  гаража амбулатории п. Кропоткин.</w:t>
      </w:r>
    </w:p>
    <w:p w:rsidR="002B5779" w:rsidRPr="00035364" w:rsidRDefault="002B5779" w:rsidP="002B5779">
      <w:pPr>
        <w:jc w:val="both"/>
      </w:pPr>
      <w:r w:rsidRPr="00035364">
        <w:tab/>
        <w:t xml:space="preserve">В 2013 г. гражданам оказана материальная помощь в общей сумме 1,3 млн. руб. (порядка </w:t>
      </w:r>
      <w:r w:rsidR="001A2142">
        <w:t>10</w:t>
      </w:r>
      <w:r w:rsidRPr="00035364">
        <w:t>0 чел.) на оплату проезда и лечение в областных медицинских учреждениях (онкологи</w:t>
      </w:r>
      <w:r w:rsidR="001A2142">
        <w:t>я</w:t>
      </w:r>
      <w:r w:rsidRPr="00035364">
        <w:t>, туберкулез, глазны</w:t>
      </w:r>
      <w:r w:rsidR="001A2142">
        <w:t>е</w:t>
      </w:r>
      <w:r w:rsidRPr="00035364">
        <w:t xml:space="preserve"> заболевания и операци</w:t>
      </w:r>
      <w:r w:rsidR="001A2142">
        <w:t>и)</w:t>
      </w:r>
      <w:r w:rsidRPr="00035364">
        <w:t>,</w:t>
      </w:r>
      <w:r w:rsidR="001A2142">
        <w:t xml:space="preserve"> в том числе в </w:t>
      </w:r>
      <w:r w:rsidRPr="00035364">
        <w:t xml:space="preserve"> специализированные детские больниц</w:t>
      </w:r>
      <w:r w:rsidR="001A2142">
        <w:t>ы</w:t>
      </w:r>
      <w:r w:rsidRPr="00035364">
        <w:t>.</w:t>
      </w:r>
    </w:p>
    <w:p w:rsidR="002B5779" w:rsidRPr="00035364" w:rsidRDefault="002B5779" w:rsidP="002B5779"/>
    <w:p w:rsidR="002B5779" w:rsidRPr="00035364" w:rsidRDefault="002B5779" w:rsidP="002B5779">
      <w:pPr>
        <w:widowControl w:val="0"/>
        <w:autoSpaceDE w:val="0"/>
        <w:autoSpaceDN w:val="0"/>
        <w:adjustRightInd w:val="0"/>
        <w:jc w:val="center"/>
      </w:pPr>
    </w:p>
    <w:p w:rsidR="002B5779" w:rsidRPr="00BF26F9" w:rsidRDefault="002B5779" w:rsidP="002B5779">
      <w:pPr>
        <w:widowControl w:val="0"/>
        <w:autoSpaceDE w:val="0"/>
        <w:autoSpaceDN w:val="0"/>
        <w:adjustRightInd w:val="0"/>
        <w:jc w:val="both"/>
      </w:pPr>
    </w:p>
    <w:p w:rsidR="002B5779" w:rsidRPr="00685A96" w:rsidRDefault="002B5779" w:rsidP="00C061C7">
      <w:pPr>
        <w:ind w:firstLine="709"/>
        <w:jc w:val="both"/>
      </w:pPr>
    </w:p>
    <w:p w:rsidR="00375A38" w:rsidRDefault="00375A38" w:rsidP="00375A38">
      <w:pPr>
        <w:ind w:firstLine="709"/>
        <w:jc w:val="both"/>
        <w:rPr>
          <w:color w:val="000000"/>
        </w:rPr>
      </w:pPr>
    </w:p>
    <w:p w:rsidR="00375A38" w:rsidRPr="003A40C7" w:rsidRDefault="00375A38" w:rsidP="00375A38">
      <w:pPr>
        <w:pStyle w:val="ac"/>
        <w:tabs>
          <w:tab w:val="left" w:pos="1134"/>
        </w:tabs>
        <w:spacing w:before="0" w:after="0"/>
        <w:ind w:firstLine="709"/>
        <w:jc w:val="both"/>
      </w:pPr>
    </w:p>
    <w:p w:rsidR="00375A38" w:rsidRPr="00752EA1" w:rsidRDefault="00375A38" w:rsidP="00375A38">
      <w:pPr>
        <w:ind w:firstLine="709"/>
        <w:jc w:val="both"/>
      </w:pPr>
    </w:p>
    <w:p w:rsidR="00375A38" w:rsidRPr="00752EA1" w:rsidRDefault="00375A38" w:rsidP="00375A38">
      <w:pPr>
        <w:jc w:val="both"/>
        <w:rPr>
          <w:sz w:val="22"/>
          <w:szCs w:val="22"/>
        </w:rPr>
      </w:pPr>
      <w:r w:rsidRPr="00752EA1">
        <w:rPr>
          <w:sz w:val="22"/>
          <w:szCs w:val="22"/>
        </w:rPr>
        <w:t>Подготовил:</w:t>
      </w:r>
    </w:p>
    <w:p w:rsidR="00375A38" w:rsidRPr="00665683" w:rsidRDefault="00375A38" w:rsidP="00375A38">
      <w:pPr>
        <w:jc w:val="both"/>
        <w:rPr>
          <w:sz w:val="22"/>
          <w:szCs w:val="22"/>
        </w:rPr>
      </w:pPr>
      <w:r w:rsidRPr="00665683">
        <w:rPr>
          <w:sz w:val="22"/>
          <w:szCs w:val="22"/>
        </w:rPr>
        <w:t>Начальник отдела экономического</w:t>
      </w:r>
    </w:p>
    <w:p w:rsidR="00375A38" w:rsidRPr="00665683" w:rsidRDefault="00375A38" w:rsidP="00375A38">
      <w:pPr>
        <w:jc w:val="both"/>
        <w:rPr>
          <w:sz w:val="22"/>
          <w:szCs w:val="22"/>
        </w:rPr>
      </w:pPr>
      <w:r w:rsidRPr="00665683">
        <w:rPr>
          <w:sz w:val="22"/>
          <w:szCs w:val="22"/>
        </w:rPr>
        <w:t>анализа и прогнозирования</w:t>
      </w:r>
    </w:p>
    <w:p w:rsidR="00375A38" w:rsidRPr="00665683" w:rsidRDefault="00375A38" w:rsidP="00375A38">
      <w:pPr>
        <w:jc w:val="both"/>
        <w:rPr>
          <w:sz w:val="22"/>
          <w:szCs w:val="22"/>
        </w:rPr>
      </w:pPr>
      <w:r w:rsidRPr="00665683">
        <w:rPr>
          <w:sz w:val="22"/>
          <w:szCs w:val="22"/>
        </w:rPr>
        <w:t>администрации г.Бодайбо и района</w:t>
      </w:r>
    </w:p>
    <w:p w:rsidR="00375A38" w:rsidRPr="00665683" w:rsidRDefault="00375A38" w:rsidP="00375A38">
      <w:pPr>
        <w:jc w:val="both"/>
        <w:rPr>
          <w:sz w:val="22"/>
          <w:szCs w:val="22"/>
        </w:rPr>
      </w:pPr>
      <w:r w:rsidRPr="00665683">
        <w:rPr>
          <w:sz w:val="22"/>
          <w:szCs w:val="22"/>
        </w:rPr>
        <w:t>Соколова О.А.</w:t>
      </w:r>
    </w:p>
    <w:p w:rsidR="00375A38" w:rsidRPr="00665683" w:rsidRDefault="00375A38" w:rsidP="00375A38">
      <w:pPr>
        <w:ind w:firstLine="709"/>
        <w:jc w:val="both"/>
        <w:rPr>
          <w:sz w:val="22"/>
          <w:szCs w:val="22"/>
        </w:rPr>
      </w:pPr>
    </w:p>
    <w:p w:rsidR="00375A38" w:rsidRPr="00665683" w:rsidRDefault="00375A38" w:rsidP="00375A38">
      <w:pPr>
        <w:ind w:firstLine="709"/>
        <w:rPr>
          <w:sz w:val="22"/>
          <w:szCs w:val="22"/>
        </w:rPr>
      </w:pPr>
    </w:p>
    <w:p w:rsidR="00375A38" w:rsidRDefault="00375A38" w:rsidP="00375A38">
      <w:pPr>
        <w:ind w:firstLine="709"/>
      </w:pPr>
    </w:p>
    <w:p w:rsidR="00A80735" w:rsidRDefault="00A80735"/>
    <w:sectPr w:rsidR="00A80735" w:rsidSect="009821DC">
      <w:headerReference w:type="even" r:id="rId13"/>
      <w:headerReference w:type="default" r:id="rId14"/>
      <w:head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B" w:rsidRDefault="00E0430B" w:rsidP="00B37118">
      <w:r>
        <w:separator/>
      </w:r>
    </w:p>
  </w:endnote>
  <w:endnote w:type="continuationSeparator" w:id="0">
    <w:p w:rsidR="00E0430B" w:rsidRDefault="00E0430B" w:rsidP="00B3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B" w:rsidRDefault="00E0430B" w:rsidP="00B37118">
      <w:r>
        <w:separator/>
      </w:r>
    </w:p>
  </w:footnote>
  <w:footnote w:type="continuationSeparator" w:id="0">
    <w:p w:rsidR="00E0430B" w:rsidRDefault="00E0430B" w:rsidP="00B3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D" w:rsidRDefault="00AC1F03" w:rsidP="007A60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B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2C0">
      <w:rPr>
        <w:rStyle w:val="a9"/>
        <w:noProof/>
      </w:rPr>
      <w:t>2</w:t>
    </w:r>
    <w:r>
      <w:rPr>
        <w:rStyle w:val="a9"/>
      </w:rPr>
      <w:fldChar w:fldCharType="end"/>
    </w:r>
  </w:p>
  <w:p w:rsidR="00593B2D" w:rsidRDefault="00593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D" w:rsidRPr="008727D8" w:rsidRDefault="00AC1F03" w:rsidP="007A60F9">
    <w:pPr>
      <w:pStyle w:val="a3"/>
      <w:framePr w:wrap="around" w:vAnchor="text" w:hAnchor="margin" w:xAlign="center" w:y="1"/>
      <w:rPr>
        <w:rStyle w:val="a9"/>
        <w:sz w:val="16"/>
        <w:szCs w:val="16"/>
      </w:rPr>
    </w:pPr>
    <w:r w:rsidRPr="008727D8">
      <w:rPr>
        <w:rStyle w:val="a9"/>
        <w:sz w:val="16"/>
        <w:szCs w:val="16"/>
      </w:rPr>
      <w:fldChar w:fldCharType="begin"/>
    </w:r>
    <w:r w:rsidR="00593B2D" w:rsidRPr="008727D8">
      <w:rPr>
        <w:rStyle w:val="a9"/>
        <w:sz w:val="16"/>
        <w:szCs w:val="16"/>
      </w:rPr>
      <w:instrText xml:space="preserve">PAGE  </w:instrText>
    </w:r>
    <w:r w:rsidRPr="008727D8">
      <w:rPr>
        <w:rStyle w:val="a9"/>
        <w:sz w:val="16"/>
        <w:szCs w:val="16"/>
      </w:rPr>
      <w:fldChar w:fldCharType="separate"/>
    </w:r>
    <w:r w:rsidR="00E552C0">
      <w:rPr>
        <w:rStyle w:val="a9"/>
        <w:noProof/>
        <w:sz w:val="16"/>
        <w:szCs w:val="16"/>
      </w:rPr>
      <w:t>3</w:t>
    </w:r>
    <w:r w:rsidRPr="008727D8">
      <w:rPr>
        <w:rStyle w:val="a9"/>
        <w:sz w:val="16"/>
        <w:szCs w:val="16"/>
      </w:rPr>
      <w:fldChar w:fldCharType="end"/>
    </w:r>
  </w:p>
  <w:p w:rsidR="00593B2D" w:rsidRPr="00A8125D" w:rsidRDefault="00593B2D" w:rsidP="007A60F9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D" w:rsidRDefault="00AC1F03" w:rsidP="007A60F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B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B2D">
      <w:rPr>
        <w:rStyle w:val="a9"/>
        <w:noProof/>
      </w:rPr>
      <w:t>1</w:t>
    </w:r>
    <w:r>
      <w:rPr>
        <w:rStyle w:val="a9"/>
      </w:rPr>
      <w:fldChar w:fldCharType="end"/>
    </w:r>
  </w:p>
  <w:p w:rsidR="00593B2D" w:rsidRDefault="00593B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626"/>
        </w:tabs>
        <w:ind w:left="262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557"/>
        </w:tabs>
        <w:ind w:left="355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488"/>
        </w:tabs>
        <w:ind w:left="448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419"/>
        </w:tabs>
        <w:ind w:left="5419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7281"/>
        </w:tabs>
        <w:ind w:left="72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8212"/>
        </w:tabs>
        <w:ind w:left="8212" w:hanging="360"/>
      </w:pPr>
      <w:rPr>
        <w:rFonts w:ascii="Symbol" w:hAnsi="Symbol"/>
        <w:sz w:val="18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CF2F28"/>
    <w:multiLevelType w:val="hybridMultilevel"/>
    <w:tmpl w:val="AC50E526"/>
    <w:lvl w:ilvl="0" w:tplc="82462FE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023F3"/>
    <w:multiLevelType w:val="hybridMultilevel"/>
    <w:tmpl w:val="C4F2F110"/>
    <w:lvl w:ilvl="0" w:tplc="2E90B1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BE2352"/>
    <w:multiLevelType w:val="hybridMultilevel"/>
    <w:tmpl w:val="01D484D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3DF94ADD"/>
    <w:multiLevelType w:val="hybridMultilevel"/>
    <w:tmpl w:val="0060CC56"/>
    <w:lvl w:ilvl="0" w:tplc="30CED8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9F5B38"/>
    <w:multiLevelType w:val="hybridMultilevel"/>
    <w:tmpl w:val="8CBEE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B43F11"/>
    <w:multiLevelType w:val="hybridMultilevel"/>
    <w:tmpl w:val="5B8C71C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011935"/>
    <w:multiLevelType w:val="hybridMultilevel"/>
    <w:tmpl w:val="F07A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96433"/>
    <w:multiLevelType w:val="hybridMultilevel"/>
    <w:tmpl w:val="8F6E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72685"/>
    <w:multiLevelType w:val="hybridMultilevel"/>
    <w:tmpl w:val="5524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31759"/>
    <w:multiLevelType w:val="hybridMultilevel"/>
    <w:tmpl w:val="DD628C2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C44E0"/>
    <w:multiLevelType w:val="hybridMultilevel"/>
    <w:tmpl w:val="F30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38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6CF2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67ED5"/>
    <w:rsid w:val="0007212A"/>
    <w:rsid w:val="00077B76"/>
    <w:rsid w:val="00084479"/>
    <w:rsid w:val="00084BFD"/>
    <w:rsid w:val="000B0AC0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2142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B5779"/>
    <w:rsid w:val="002E4CAD"/>
    <w:rsid w:val="002E66DA"/>
    <w:rsid w:val="00314A2A"/>
    <w:rsid w:val="00316DD9"/>
    <w:rsid w:val="003308AF"/>
    <w:rsid w:val="003431E4"/>
    <w:rsid w:val="00347665"/>
    <w:rsid w:val="003607BB"/>
    <w:rsid w:val="00362F55"/>
    <w:rsid w:val="00371511"/>
    <w:rsid w:val="00375A38"/>
    <w:rsid w:val="00383EA4"/>
    <w:rsid w:val="0039413E"/>
    <w:rsid w:val="003B3816"/>
    <w:rsid w:val="003C4E9C"/>
    <w:rsid w:val="003C67FE"/>
    <w:rsid w:val="003D2DF9"/>
    <w:rsid w:val="003D561E"/>
    <w:rsid w:val="003E192C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5DF6"/>
    <w:rsid w:val="0052781C"/>
    <w:rsid w:val="005400DD"/>
    <w:rsid w:val="00551482"/>
    <w:rsid w:val="00564B0F"/>
    <w:rsid w:val="005760B8"/>
    <w:rsid w:val="00577C5D"/>
    <w:rsid w:val="00581578"/>
    <w:rsid w:val="00586C52"/>
    <w:rsid w:val="00587080"/>
    <w:rsid w:val="00592CEF"/>
    <w:rsid w:val="00593B2D"/>
    <w:rsid w:val="005A35EE"/>
    <w:rsid w:val="005B1983"/>
    <w:rsid w:val="005B28D3"/>
    <w:rsid w:val="005B5726"/>
    <w:rsid w:val="005B7651"/>
    <w:rsid w:val="005C0D26"/>
    <w:rsid w:val="005D5BD3"/>
    <w:rsid w:val="005D61AC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6F5A70"/>
    <w:rsid w:val="0070122D"/>
    <w:rsid w:val="007157B7"/>
    <w:rsid w:val="00715A87"/>
    <w:rsid w:val="00727896"/>
    <w:rsid w:val="00730262"/>
    <w:rsid w:val="00732A80"/>
    <w:rsid w:val="0073345E"/>
    <w:rsid w:val="00736CDF"/>
    <w:rsid w:val="00741B23"/>
    <w:rsid w:val="00757010"/>
    <w:rsid w:val="00765C7A"/>
    <w:rsid w:val="007674F1"/>
    <w:rsid w:val="007915BF"/>
    <w:rsid w:val="00797E4E"/>
    <w:rsid w:val="007A0A49"/>
    <w:rsid w:val="007A60F9"/>
    <w:rsid w:val="007B1AE8"/>
    <w:rsid w:val="007B3834"/>
    <w:rsid w:val="007C7B0B"/>
    <w:rsid w:val="007E084C"/>
    <w:rsid w:val="007E4503"/>
    <w:rsid w:val="007E45D2"/>
    <w:rsid w:val="007E635B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0E5B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25F8A"/>
    <w:rsid w:val="00933C8D"/>
    <w:rsid w:val="00962021"/>
    <w:rsid w:val="009634ED"/>
    <w:rsid w:val="009639EE"/>
    <w:rsid w:val="00967525"/>
    <w:rsid w:val="00971B6B"/>
    <w:rsid w:val="00971FA4"/>
    <w:rsid w:val="009821DC"/>
    <w:rsid w:val="00995F63"/>
    <w:rsid w:val="009A7888"/>
    <w:rsid w:val="009B1B27"/>
    <w:rsid w:val="009B275E"/>
    <w:rsid w:val="009B3465"/>
    <w:rsid w:val="009C1F14"/>
    <w:rsid w:val="009C349E"/>
    <w:rsid w:val="009D48F8"/>
    <w:rsid w:val="009F1CDC"/>
    <w:rsid w:val="00A04701"/>
    <w:rsid w:val="00A06ACF"/>
    <w:rsid w:val="00A105E4"/>
    <w:rsid w:val="00A1340E"/>
    <w:rsid w:val="00A22B2F"/>
    <w:rsid w:val="00A22CE4"/>
    <w:rsid w:val="00A2382B"/>
    <w:rsid w:val="00A43B14"/>
    <w:rsid w:val="00A44C73"/>
    <w:rsid w:val="00A47176"/>
    <w:rsid w:val="00A52140"/>
    <w:rsid w:val="00A64DC6"/>
    <w:rsid w:val="00A716FE"/>
    <w:rsid w:val="00A77E71"/>
    <w:rsid w:val="00A80735"/>
    <w:rsid w:val="00A83120"/>
    <w:rsid w:val="00AA2B5A"/>
    <w:rsid w:val="00AB1877"/>
    <w:rsid w:val="00AC1F03"/>
    <w:rsid w:val="00AC6AD9"/>
    <w:rsid w:val="00AC6B71"/>
    <w:rsid w:val="00AF1FC8"/>
    <w:rsid w:val="00B05B1B"/>
    <w:rsid w:val="00B12E85"/>
    <w:rsid w:val="00B25B34"/>
    <w:rsid w:val="00B37118"/>
    <w:rsid w:val="00B52D6C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B4509"/>
    <w:rsid w:val="00BD5897"/>
    <w:rsid w:val="00BD7082"/>
    <w:rsid w:val="00C028F2"/>
    <w:rsid w:val="00C061C7"/>
    <w:rsid w:val="00C16B5E"/>
    <w:rsid w:val="00C2095A"/>
    <w:rsid w:val="00C40309"/>
    <w:rsid w:val="00C416B8"/>
    <w:rsid w:val="00C43CE0"/>
    <w:rsid w:val="00C459DD"/>
    <w:rsid w:val="00C62452"/>
    <w:rsid w:val="00C63B55"/>
    <w:rsid w:val="00C753CC"/>
    <w:rsid w:val="00C862F6"/>
    <w:rsid w:val="00CA5FD2"/>
    <w:rsid w:val="00CB01CA"/>
    <w:rsid w:val="00CB3186"/>
    <w:rsid w:val="00CB3A7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57D82"/>
    <w:rsid w:val="00D67F4B"/>
    <w:rsid w:val="00D76206"/>
    <w:rsid w:val="00D926C6"/>
    <w:rsid w:val="00D93987"/>
    <w:rsid w:val="00DA2507"/>
    <w:rsid w:val="00DA3812"/>
    <w:rsid w:val="00DA4E68"/>
    <w:rsid w:val="00DB00D3"/>
    <w:rsid w:val="00DB4373"/>
    <w:rsid w:val="00DD45BE"/>
    <w:rsid w:val="00DD4A35"/>
    <w:rsid w:val="00DE6DDA"/>
    <w:rsid w:val="00E003F8"/>
    <w:rsid w:val="00E0430B"/>
    <w:rsid w:val="00E1247C"/>
    <w:rsid w:val="00E12F7E"/>
    <w:rsid w:val="00E14067"/>
    <w:rsid w:val="00E254BB"/>
    <w:rsid w:val="00E27F5D"/>
    <w:rsid w:val="00E35CE8"/>
    <w:rsid w:val="00E41AF0"/>
    <w:rsid w:val="00E47B9D"/>
    <w:rsid w:val="00E552C0"/>
    <w:rsid w:val="00E552E4"/>
    <w:rsid w:val="00E56509"/>
    <w:rsid w:val="00E6462F"/>
    <w:rsid w:val="00E70F16"/>
    <w:rsid w:val="00E77F59"/>
    <w:rsid w:val="00E933DA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37D0"/>
    <w:rsid w:val="00F76B15"/>
    <w:rsid w:val="00F77665"/>
    <w:rsid w:val="00F82E25"/>
    <w:rsid w:val="00F972AC"/>
    <w:rsid w:val="00FA53E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l24">
    <w:name w:val="xl24"/>
    <w:basedOn w:val="a"/>
    <w:uiPriority w:val="99"/>
    <w:rsid w:val="00375A38"/>
    <w:pP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a4"/>
    <w:uiPriority w:val="99"/>
    <w:rsid w:val="0037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rsid w:val="00375A38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Body Text Indent"/>
    <w:basedOn w:val="a"/>
    <w:link w:val="a8"/>
    <w:uiPriority w:val="99"/>
    <w:rsid w:val="00375A38"/>
    <w:pPr>
      <w:tabs>
        <w:tab w:val="left" w:pos="442"/>
      </w:tabs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5A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375A38"/>
    <w:rPr>
      <w:rFonts w:cs="Times New Roman"/>
    </w:rPr>
  </w:style>
  <w:style w:type="paragraph" w:customStyle="1" w:styleId="11">
    <w:name w:val="Без интервала1"/>
    <w:rsid w:val="00375A3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375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7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75A38"/>
    <w:pPr>
      <w:suppressAutoHyphens/>
      <w:jc w:val="both"/>
    </w:pPr>
    <w:rPr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375A38"/>
    <w:pPr>
      <w:keepNext/>
      <w:suppressAutoHyphens/>
      <w:spacing w:before="280" w:after="280"/>
    </w:pPr>
    <w:rPr>
      <w:rFonts w:eastAsia="Calibri"/>
      <w:lang w:eastAsia="ar-SA"/>
    </w:rPr>
  </w:style>
  <w:style w:type="paragraph" w:customStyle="1" w:styleId="12">
    <w:name w:val="Абзац списка1"/>
    <w:basedOn w:val="a"/>
    <w:uiPriority w:val="99"/>
    <w:rsid w:val="00375A3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d">
    <w:name w:val="Гипертекстовая ссылка"/>
    <w:basedOn w:val="a0"/>
    <w:uiPriority w:val="99"/>
    <w:rsid w:val="00375A38"/>
    <w:rPr>
      <w:rFonts w:cs="Times New Roman"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75A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37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375A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5A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75A38"/>
    <w:rPr>
      <w:b/>
      <w:color w:val="000080"/>
    </w:rPr>
  </w:style>
  <w:style w:type="character" w:styleId="af4">
    <w:name w:val="Hyperlink"/>
    <w:basedOn w:val="a0"/>
    <w:uiPriority w:val="99"/>
    <w:semiHidden/>
    <w:rsid w:val="00375A38"/>
    <w:rPr>
      <w:rFonts w:cs="Times New Roman"/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375A38"/>
    <w:pPr>
      <w:jc w:val="center"/>
    </w:pPr>
    <w:rPr>
      <w:rFonts w:ascii="Arial" w:hAnsi="Arial" w:cs="Arial"/>
      <w:b/>
      <w:bCs/>
    </w:rPr>
  </w:style>
  <w:style w:type="character" w:customStyle="1" w:styleId="af6">
    <w:name w:val="Название Знак"/>
    <w:basedOn w:val="a0"/>
    <w:link w:val="af5"/>
    <w:uiPriority w:val="99"/>
    <w:rsid w:val="00375A3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75A38"/>
    <w:pPr>
      <w:spacing w:before="100" w:beforeAutospacing="1" w:after="100" w:afterAutospacing="1"/>
    </w:pPr>
  </w:style>
  <w:style w:type="table" w:styleId="af7">
    <w:name w:val="Table Grid"/>
    <w:basedOn w:val="a1"/>
    <w:rsid w:val="0037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375A38"/>
    <w:pPr>
      <w:spacing w:after="144"/>
    </w:pPr>
  </w:style>
  <w:style w:type="paragraph" w:styleId="2">
    <w:name w:val="Body Text Indent 2"/>
    <w:basedOn w:val="a"/>
    <w:link w:val="20"/>
    <w:uiPriority w:val="99"/>
    <w:semiHidden/>
    <w:rsid w:val="00375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375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375A38"/>
    <w:pPr>
      <w:ind w:left="720"/>
    </w:pPr>
  </w:style>
  <w:style w:type="paragraph" w:customStyle="1" w:styleId="ConsPlusNormal">
    <w:name w:val="ConsPlusNormal"/>
    <w:rsid w:val="00375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C061C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C061C7"/>
    <w:rPr>
      <w:rFonts w:ascii="Calibri" w:eastAsia="Times New Roman" w:hAnsi="Calibri" w:cs="Times New Roman"/>
      <w:lang w:eastAsia="ru-RU"/>
    </w:rPr>
  </w:style>
  <w:style w:type="paragraph" w:customStyle="1" w:styleId="msonormalcxspmiddlecxspmiddlecxspmiddle">
    <w:name w:val="msonormalcxspmiddlecxspmiddlecxspmiddle"/>
    <w:basedOn w:val="a"/>
    <w:rsid w:val="00C061C7"/>
    <w:pPr>
      <w:spacing w:before="100" w:beforeAutospacing="1" w:after="100" w:afterAutospacing="1"/>
    </w:pPr>
    <w:rPr>
      <w:rFonts w:ascii="Calibri" w:eastAsia="Calibri" w:hAnsi="Calibri"/>
    </w:rPr>
  </w:style>
  <w:style w:type="character" w:styleId="afa">
    <w:name w:val="Strong"/>
    <w:basedOn w:val="a0"/>
    <w:qFormat/>
    <w:rsid w:val="00C061C7"/>
    <w:rPr>
      <w:b/>
      <w:bCs/>
    </w:rPr>
  </w:style>
  <w:style w:type="paragraph" w:customStyle="1" w:styleId="ConsPlusTitle">
    <w:name w:val="ConsPlusTitle"/>
    <w:uiPriority w:val="99"/>
    <w:rsid w:val="002B57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4869D30F2ECDC414856E77B5B753B5C576D64BDBE1602F2D5831BD26E629C09A04nC7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CAE2A0E46F2DE8EEC44869D30F2ECDC414856E77B5B753B5C576D64BDBE1602F2D5831BD26E629C09A04nC7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AE2A0E46F2DE8EEC44869D30F2ECDC414856E77B1B253B3C576D64BDBE1602F2D5831BD26E629C09A07nC7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CCAE2A0E46F2DE8EEC44869D30F2ECDC414856E77B1B253B3C576D64BDBE1602F2D5831BD26E629C09A07nC7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AE2A0E46F2DE8EEC44869D30F2ECDC414856E77B5B753B5C576D64BDBE1602F2D5831BD26E629C09A04nC7D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8D46-7E36-450D-98B9-5A4F5934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2014-02-28T03:18:00Z</cp:lastPrinted>
  <dcterms:created xsi:type="dcterms:W3CDTF">2013-12-24T04:26:00Z</dcterms:created>
  <dcterms:modified xsi:type="dcterms:W3CDTF">2014-03-14T01:42:00Z</dcterms:modified>
</cp:coreProperties>
</file>